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2CE53" w14:textId="30307026" w:rsidR="00014957" w:rsidRPr="002F0466" w:rsidRDefault="00F55540" w:rsidP="003A27FA">
      <w:pPr>
        <w:ind w:left="0" w:firstLine="0"/>
        <w:jc w:val="center"/>
        <w:rPr>
          <w:b/>
          <w:bCs/>
        </w:rPr>
      </w:pPr>
      <w:r w:rsidRPr="002F0466">
        <w:rPr>
          <w:b/>
          <w:lang w:bidi="es-US"/>
        </w:rPr>
        <w:t>SECCIÓN 26 0943</w:t>
      </w:r>
    </w:p>
    <w:p w14:paraId="41DBFDEF" w14:textId="1C6E5120" w:rsidR="0038729F" w:rsidRPr="003028B4" w:rsidRDefault="00F55540" w:rsidP="003A27FA">
      <w:pPr>
        <w:ind w:left="0" w:firstLine="0"/>
        <w:jc w:val="center"/>
        <w:rPr>
          <w:b/>
          <w:bCs/>
        </w:rPr>
      </w:pPr>
      <w:r w:rsidRPr="3484DDAB">
        <w:rPr>
          <w:b/>
          <w:lang w:bidi="es-US"/>
        </w:rPr>
        <w:t>CONTROLES DE ILUMINACIÓN. WAVELINX (con conexión CAT5/6/cableado)</w:t>
      </w:r>
    </w:p>
    <w:p w14:paraId="6E3DC130" w14:textId="0FD9C8FD" w:rsidR="00906DFB" w:rsidRPr="000547E2" w:rsidRDefault="0038729F" w:rsidP="003A27FA">
      <w:pPr>
        <w:ind w:left="0" w:firstLine="0"/>
        <w:jc w:val="center"/>
        <w:rPr>
          <w:color w:val="FF0000"/>
        </w:rPr>
      </w:pPr>
      <w:permStart w:id="1224287602" w:edGrp="everyone"/>
      <w:permEnd w:id="1224287602"/>
      <w:r w:rsidRPr="000547E2">
        <w:rPr>
          <w:color w:val="FF0000"/>
          <w:lang w:bidi="es-US"/>
        </w:rPr>
        <w:t xml:space="preserve">Esta especificación se actualizó en </w:t>
      </w:r>
      <w:r w:rsidR="00C15A7D">
        <w:rPr>
          <w:color w:val="FF0000"/>
          <w:lang w:bidi="es-US"/>
        </w:rPr>
        <w:t>Marzo</w:t>
      </w:r>
      <w:r w:rsidRPr="000547E2">
        <w:rPr>
          <w:color w:val="FF0000"/>
          <w:lang w:bidi="es-US"/>
        </w:rPr>
        <w:t xml:space="preserve"> de </w:t>
      </w:r>
      <w:r w:rsidR="00C15A7D">
        <w:rPr>
          <w:color w:val="FF0000"/>
          <w:lang w:bidi="es-US"/>
        </w:rPr>
        <w:t>2025</w:t>
      </w:r>
      <w:r w:rsidRPr="000547E2">
        <w:rPr>
          <w:color w:val="FF0000"/>
          <w:lang w:bidi="es-US"/>
        </w:rPr>
        <w:t xml:space="preserve"> y sustituye a todas las especificaciones híbridas de WaveLinx anteriores.</w:t>
      </w:r>
    </w:p>
    <w:p w14:paraId="5C3067B0" w14:textId="5EC3BFC7" w:rsidR="006A1916" w:rsidRPr="000547E2" w:rsidRDefault="006A1916" w:rsidP="003A27FA">
      <w:pPr>
        <w:ind w:left="0" w:firstLine="0"/>
        <w:jc w:val="center"/>
        <w:rPr>
          <w:color w:val="FF0000"/>
        </w:rPr>
      </w:pPr>
      <w:r w:rsidRPr="000547E2">
        <w:rPr>
          <w:color w:val="FF0000"/>
          <w:lang w:bidi="es-US"/>
        </w:rPr>
        <w:t>Esta sección incluye notas de edición. Estas notas están ocultas y pueden verse con Microsoft Word. Para ello, vaya al menú FILE (Archivo), seleccione OPTIONS (Opciones) y, a continuación, DISPLAY</w:t>
      </w:r>
      <w:r w:rsidR="006868A5">
        <w:rPr>
          <w:color w:val="FF0000"/>
          <w:lang w:bidi="es-US"/>
        </w:rPr>
        <w:t> </w:t>
      </w:r>
      <w:r w:rsidRPr="000547E2">
        <w:rPr>
          <w:color w:val="FF0000"/>
          <w:lang w:bidi="es-US"/>
        </w:rPr>
        <w:t>(Mostrar). En la pantalla DISPLAY (Mostrar), seleccione o deseleccione la opción HIDDEN</w:t>
      </w:r>
      <w:r w:rsidR="006868A5">
        <w:rPr>
          <w:color w:val="FF0000"/>
          <w:lang w:bidi="es-US"/>
        </w:rPr>
        <w:t> </w:t>
      </w:r>
      <w:r w:rsidRPr="000547E2">
        <w:rPr>
          <w:color w:val="FF0000"/>
          <w:lang w:bidi="es-US"/>
        </w:rPr>
        <w:t>TEXT</w:t>
      </w:r>
      <w:r w:rsidR="006868A5">
        <w:rPr>
          <w:color w:val="FF0000"/>
          <w:lang w:bidi="es-US"/>
        </w:rPr>
        <w:t> </w:t>
      </w:r>
      <w:r w:rsidRPr="000547E2">
        <w:rPr>
          <w:color w:val="FF0000"/>
          <w:lang w:bidi="es-US"/>
        </w:rPr>
        <w:t>(Texto</w:t>
      </w:r>
      <w:r w:rsidR="006868A5">
        <w:rPr>
          <w:color w:val="FF0000"/>
          <w:lang w:bidi="es-US"/>
        </w:rPr>
        <w:t> </w:t>
      </w:r>
      <w:r w:rsidRPr="000547E2">
        <w:rPr>
          <w:color w:val="FF0000"/>
          <w:lang w:bidi="es-US"/>
        </w:rPr>
        <w:t>oculto) y pulse OK (Aceptar).</w:t>
      </w:r>
    </w:p>
    <w:p w14:paraId="6BEBB79D" w14:textId="26243A56" w:rsidR="00FB4744" w:rsidRDefault="00C67FF2" w:rsidP="00C2292B">
      <w:pPr>
        <w:pStyle w:val="PRT"/>
      </w:pPr>
      <w:r>
        <w:rPr>
          <w:lang w:bidi="es-US"/>
        </w:rPr>
        <w:t xml:space="preserve"> GENERAL</w:t>
      </w:r>
    </w:p>
    <w:p w14:paraId="3D810351" w14:textId="2F97147F" w:rsidR="00906DFB" w:rsidRPr="00A12CA3" w:rsidRDefault="737A0CA6" w:rsidP="009A5F97">
      <w:pPr>
        <w:pStyle w:val="Heading2"/>
      </w:pPr>
      <w:r w:rsidRPr="00A12CA3">
        <w:rPr>
          <w:lang w:bidi="es-US"/>
        </w:rPr>
        <w:t>RESUMEN</w:t>
      </w:r>
    </w:p>
    <w:p w14:paraId="1E590CB7" w14:textId="6F3EA7F3" w:rsidR="00906DFB" w:rsidRPr="003F2DAF" w:rsidRDefault="4ABEE08B" w:rsidP="006868A5">
      <w:pPr>
        <w:pStyle w:val="PR1"/>
      </w:pPr>
      <w:r w:rsidRPr="003F2DAF">
        <w:rPr>
          <w:lang w:bidi="es-US"/>
        </w:rPr>
        <w:t>La sección incluye lo siguiente:</w:t>
      </w:r>
    </w:p>
    <w:p w14:paraId="062CA1C5" w14:textId="5A8CED31" w:rsidR="00906DFB" w:rsidRPr="003F2DAF" w:rsidRDefault="4ABEE08B" w:rsidP="00451662">
      <w:pPr>
        <w:pStyle w:val="PR2"/>
        <w:rPr>
          <w:rFonts w:eastAsia="Arial" w:cs="Arial"/>
        </w:rPr>
      </w:pPr>
      <w:r w:rsidRPr="003F2DAF">
        <w:rPr>
          <w:lang w:bidi="es-US"/>
        </w:rPr>
        <w:t>Dispositivos de control de iluminación por cable</w:t>
      </w:r>
    </w:p>
    <w:p w14:paraId="5903F1CF" w14:textId="5623872B" w:rsidR="00906DFB" w:rsidRPr="003F2DAF" w:rsidRDefault="1770FDF7" w:rsidP="00451662">
      <w:pPr>
        <w:pStyle w:val="PR2"/>
        <w:rPr>
          <w:rFonts w:eastAsia="Arial" w:cs="Arial"/>
        </w:rPr>
      </w:pPr>
      <w:r w:rsidRPr="003F2DAF">
        <w:rPr>
          <w:lang w:bidi="es-US"/>
        </w:rPr>
        <w:t>Panel de relés en red</w:t>
      </w:r>
    </w:p>
    <w:p w14:paraId="0A5B7E3C" w14:textId="5E78FC77" w:rsidR="00906DFB" w:rsidRPr="003F2DAF" w:rsidRDefault="74822A1D" w:rsidP="00451662">
      <w:pPr>
        <w:pStyle w:val="PR2"/>
        <w:rPr>
          <w:rFonts w:eastAsia="Arial" w:cs="Arial"/>
        </w:rPr>
      </w:pPr>
      <w:r w:rsidRPr="003F2DAF">
        <w:rPr>
          <w:lang w:bidi="es-US"/>
        </w:rPr>
        <w:t>Interfaces de software del sistema</w:t>
      </w:r>
    </w:p>
    <w:p w14:paraId="013B94DE" w14:textId="62E26E73" w:rsidR="00906DFB" w:rsidRPr="003F2DAF" w:rsidRDefault="74822A1D" w:rsidP="00451662">
      <w:pPr>
        <w:pStyle w:val="PR2"/>
        <w:rPr>
          <w:rFonts w:eastAsia="Arial" w:cs="Arial"/>
        </w:rPr>
      </w:pPr>
      <w:r w:rsidRPr="003F2DAF">
        <w:rPr>
          <w:lang w:bidi="es-US"/>
        </w:rPr>
        <w:t>Red troncal del sistema y equipos de integración</w:t>
      </w:r>
    </w:p>
    <w:p w14:paraId="005A655D" w14:textId="35B838BF" w:rsidR="00906DFB" w:rsidRPr="003F2DAF" w:rsidRDefault="74822A1D" w:rsidP="006868A5">
      <w:pPr>
        <w:pStyle w:val="PR1"/>
        <w:rPr>
          <w:rFonts w:eastAsia="Arial" w:cs="Arial"/>
        </w:rPr>
      </w:pPr>
      <w:r w:rsidRPr="003F2DAF">
        <w:rPr>
          <w:lang w:bidi="es-US"/>
        </w:rPr>
        <w:t>Secciones relacionadas:</w:t>
      </w:r>
    </w:p>
    <w:p w14:paraId="4EC34307" w14:textId="77777777" w:rsidR="0031276A" w:rsidRPr="00451662" w:rsidRDefault="4ABEE08B" w:rsidP="00451662">
      <w:pPr>
        <w:pStyle w:val="PR2"/>
        <w:numPr>
          <w:ilvl w:val="0"/>
          <w:numId w:val="11"/>
        </w:numPr>
        <w:rPr>
          <w:rFonts w:eastAsia="Arial" w:cs="Arial"/>
        </w:rPr>
      </w:pPr>
      <w:r w:rsidRPr="003F2DAF">
        <w:rPr>
          <w:lang w:bidi="es-US"/>
        </w:rPr>
        <w:t>Sección 260010: Requisitos complementarios para el sistema eléctrico, para abreviaturas, definiciones, presentaciones, calificaciones, organismos de pruebas y otros requisitos aplicables a los trabajos especificados en esta sección.</w:t>
      </w:r>
    </w:p>
    <w:p w14:paraId="06978D3B" w14:textId="77777777" w:rsidR="0031276A" w:rsidRPr="00451662" w:rsidRDefault="5D3EF393" w:rsidP="00451662">
      <w:pPr>
        <w:pStyle w:val="PR2"/>
        <w:numPr>
          <w:ilvl w:val="0"/>
          <w:numId w:val="11"/>
        </w:numPr>
        <w:rPr>
          <w:rFonts w:eastAsia="Arial" w:cs="Arial"/>
        </w:rPr>
      </w:pPr>
      <w:r w:rsidRPr="003F2DAF">
        <w:rPr>
          <w:lang w:bidi="es-US"/>
        </w:rPr>
        <w:t xml:space="preserve">Sección 262726: Dispositivos de cableado/Controles de iluminación para los requisitos de interruptores cableados, atenuadores y receptáculos aplicables al trabajo especificado en esta sección. </w:t>
      </w:r>
    </w:p>
    <w:p w14:paraId="34DFB79B" w14:textId="20C37CCD" w:rsidR="00906DFB" w:rsidRPr="00451662" w:rsidRDefault="4ABEE08B" w:rsidP="00451662">
      <w:pPr>
        <w:pStyle w:val="PR2"/>
        <w:numPr>
          <w:ilvl w:val="0"/>
          <w:numId w:val="11"/>
        </w:numPr>
        <w:rPr>
          <w:rFonts w:eastAsia="Arial" w:cs="Arial"/>
        </w:rPr>
      </w:pPr>
      <w:r w:rsidRPr="003F2DAF">
        <w:rPr>
          <w:lang w:bidi="es-US"/>
        </w:rPr>
        <w:t>División 250000: Automatización integrada, para los requisitos de integración del sistema de control de iluminación con los sistemas de automatización de edificios.</w:t>
      </w:r>
    </w:p>
    <w:p w14:paraId="6F6D6E8A" w14:textId="65F13959" w:rsidR="00FC068E" w:rsidRPr="00FC068E" w:rsidRDefault="4ABEE08B" w:rsidP="009A5F97">
      <w:pPr>
        <w:pStyle w:val="Heading2"/>
      </w:pPr>
      <w:r w:rsidRPr="5B5CE439">
        <w:rPr>
          <w:lang w:bidi="es-US"/>
        </w:rPr>
        <w:t>DEFINICIONES</w:t>
      </w:r>
    </w:p>
    <w:p w14:paraId="3DB333AB" w14:textId="77777777" w:rsidR="0031276A" w:rsidRDefault="4ABEE08B" w:rsidP="006868A5">
      <w:pPr>
        <w:pStyle w:val="PR1"/>
        <w:numPr>
          <w:ilvl w:val="0"/>
          <w:numId w:val="12"/>
        </w:numPr>
      </w:pPr>
      <w:r w:rsidRPr="009A5F97">
        <w:rPr>
          <w:lang w:bidi="es-US"/>
        </w:rPr>
        <w:t>Bus de comunicación: una interfaz cableada que utiliza un dispositivo para comunicarse con otros dispositivos de control.</w:t>
      </w:r>
    </w:p>
    <w:p w14:paraId="37B6E29D" w14:textId="36897C76" w:rsidR="0031276A" w:rsidRDefault="4ABEE08B" w:rsidP="006868A5">
      <w:pPr>
        <w:pStyle w:val="PR1"/>
        <w:numPr>
          <w:ilvl w:val="0"/>
          <w:numId w:val="12"/>
        </w:numPr>
      </w:pPr>
      <w:r w:rsidRPr="5B5CE439">
        <w:rPr>
          <w:lang w:bidi="es-US"/>
        </w:rPr>
        <w:t>Dispositivo: un equipo cableado o inalámbrico que controla la luz emitida por una fuente de iluminación, incluidos los balastos fluorescentes, los controladores LED, las lámparas incandescentes, los interruptores manuales, los relés de conmutación, los módulos de atenuación y los sensores.</w:t>
      </w:r>
    </w:p>
    <w:p w14:paraId="7A9D8598" w14:textId="77777777" w:rsidR="0031276A" w:rsidRDefault="4ABEE08B" w:rsidP="006868A5">
      <w:pPr>
        <w:pStyle w:val="PR1"/>
        <w:numPr>
          <w:ilvl w:val="0"/>
          <w:numId w:val="12"/>
        </w:numPr>
      </w:pPr>
      <w:r w:rsidRPr="5B5CE439">
        <w:rPr>
          <w:lang w:bidi="es-US"/>
        </w:rPr>
        <w:t>Grupo: un conjunto de dispositivos que se comunican entre sí.</w:t>
      </w:r>
    </w:p>
    <w:p w14:paraId="0D85171B" w14:textId="77777777" w:rsidR="0031276A" w:rsidRDefault="4ABEE08B" w:rsidP="006868A5">
      <w:pPr>
        <w:pStyle w:val="PR1"/>
        <w:numPr>
          <w:ilvl w:val="0"/>
          <w:numId w:val="12"/>
        </w:numPr>
      </w:pPr>
      <w:r w:rsidRPr="5B5CE439">
        <w:rPr>
          <w:lang w:bidi="es-US"/>
        </w:rPr>
        <w:t>Escena: el nivel de luz digital asociado a una configuración preestablecida.</w:t>
      </w:r>
    </w:p>
    <w:p w14:paraId="631B57CA" w14:textId="77777777" w:rsidR="0031276A" w:rsidRDefault="4ABEE08B" w:rsidP="006868A5">
      <w:pPr>
        <w:pStyle w:val="PR1"/>
        <w:numPr>
          <w:ilvl w:val="0"/>
          <w:numId w:val="12"/>
        </w:numPr>
      </w:pPr>
      <w:r w:rsidRPr="5B5CE439">
        <w:rPr>
          <w:lang w:bidi="es-US"/>
        </w:rPr>
        <w:t>Sistema de supervisión: un conjunto de herramientas para adquirir, procesar, comunicar y mostrar datos del estado de los equipos, valores de parámetros eléctricos medidos, datos de evaluación de la calidad de la energía, señales de eventos y alarmas, informes tabulados y registros de eventos.</w:t>
      </w:r>
    </w:p>
    <w:p w14:paraId="0EF7B59F" w14:textId="27E04DF4" w:rsidR="002861E9" w:rsidRPr="00865ECC" w:rsidRDefault="793E5B8E" w:rsidP="006868A5">
      <w:pPr>
        <w:pStyle w:val="PR1"/>
        <w:numPr>
          <w:ilvl w:val="0"/>
          <w:numId w:val="12"/>
        </w:numPr>
      </w:pPr>
      <w:r w:rsidRPr="5B5CE439">
        <w:rPr>
          <w:lang w:bidi="es-US"/>
        </w:rPr>
        <w:t xml:space="preserve">Red troncal del sistema: dispositivos utilizados para conectar espacios separados a través de TCP/IP, incluidos dispositivos de puente, pasarelas y controladores de área. </w:t>
      </w:r>
    </w:p>
    <w:p w14:paraId="2CA89827" w14:textId="73E95FA2" w:rsidR="00F55540" w:rsidRPr="002F0466" w:rsidRDefault="65673A0B" w:rsidP="009A5F97">
      <w:pPr>
        <w:pStyle w:val="Heading2"/>
      </w:pPr>
      <w:r w:rsidRPr="5B5CE439">
        <w:rPr>
          <w:lang w:bidi="es-US"/>
        </w:rPr>
        <w:t>REUNIONES PREVIAS A LA INSTALACIÓN</w:t>
      </w:r>
    </w:p>
    <w:p w14:paraId="1B9FBBB1" w14:textId="77777777" w:rsidR="0031276A" w:rsidRDefault="3CF32996" w:rsidP="006868A5">
      <w:pPr>
        <w:pStyle w:val="PR1"/>
        <w:numPr>
          <w:ilvl w:val="0"/>
          <w:numId w:val="13"/>
        </w:numPr>
      </w:pPr>
      <w:r w:rsidRPr="5B5CE439">
        <w:rPr>
          <w:lang w:bidi="es-US"/>
        </w:rPr>
        <w:t>Conferencia previa a la instalación: realice una conferencia en</w:t>
      </w:r>
      <w:r w:rsidRPr="00DA6D54">
        <w:rPr>
          <w:bCs/>
          <w:lang w:bidi="es-US"/>
        </w:rPr>
        <w:t xml:space="preserve"> [</w:t>
      </w:r>
      <w:r w:rsidRPr="006868A5">
        <w:rPr>
          <w:b/>
          <w:lang w:bidi="es-US"/>
        </w:rPr>
        <w:t>lugar del proyecto</w:t>
      </w:r>
      <w:r w:rsidRPr="00DA6D54">
        <w:rPr>
          <w:bCs/>
          <w:lang w:bidi="es-US"/>
        </w:rPr>
        <w:t xml:space="preserve">]. </w:t>
      </w:r>
    </w:p>
    <w:p w14:paraId="499CC6D2" w14:textId="43728687" w:rsidR="000A4CC9" w:rsidRPr="003028B4" w:rsidRDefault="3CF32996" w:rsidP="006868A5">
      <w:pPr>
        <w:pStyle w:val="PR1"/>
        <w:numPr>
          <w:ilvl w:val="0"/>
          <w:numId w:val="13"/>
        </w:numPr>
      </w:pPr>
      <w:r w:rsidRPr="5B5CE439">
        <w:rPr>
          <w:lang w:bidi="es-US"/>
        </w:rPr>
        <w:t xml:space="preserve">Reuniones de coordinación previas a la instalación: en el caso de los sistemas en red, realice reuniones por videoconferencia o en persona en el lugar del proyecto antes de las actividades de construcción. </w:t>
      </w:r>
    </w:p>
    <w:p w14:paraId="0FCBD603" w14:textId="77777777" w:rsidR="0031276A" w:rsidRPr="00451662" w:rsidRDefault="3CF32996" w:rsidP="00451662">
      <w:pPr>
        <w:pStyle w:val="PR2"/>
        <w:numPr>
          <w:ilvl w:val="0"/>
          <w:numId w:val="14"/>
        </w:numPr>
        <w:rPr>
          <w:sz w:val="22"/>
          <w:szCs w:val="22"/>
        </w:rPr>
      </w:pPr>
      <w:r>
        <w:rPr>
          <w:lang w:bidi="es-US"/>
        </w:rPr>
        <w:lastRenderedPageBreak/>
        <w:t>Asistentes: instaladores, fabricantes, representantes de fabricantes y administradores para pruebas e inspecciones en el campo. Informe las fechas de las reuniones programadas al arquitecto, al director de obra y a la autoridad de puesta en servicio del propietario.</w:t>
      </w:r>
    </w:p>
    <w:p w14:paraId="372DFD09" w14:textId="2E58629C" w:rsidR="000A4CC9" w:rsidRPr="00451662" w:rsidRDefault="11B3AF0C" w:rsidP="00451662">
      <w:pPr>
        <w:pStyle w:val="PR2"/>
        <w:numPr>
          <w:ilvl w:val="0"/>
          <w:numId w:val="14"/>
        </w:numPr>
        <w:rPr>
          <w:sz w:val="22"/>
          <w:szCs w:val="22"/>
        </w:rPr>
      </w:pPr>
      <w:r>
        <w:rPr>
          <w:lang w:bidi="es-US"/>
        </w:rPr>
        <w:t xml:space="preserve">Alcance: revise con el equipo del proyecto el plano de presentación, la secuencia de funcionamiento, los requisitos informáticos y las prácticas recomendadas de cableado, incluidas las pruebas de cableado, las prácticas recomendadas de instalación de dispositivos y los requisitos de integración del control de iluminación con otros sistemas. </w:t>
      </w:r>
    </w:p>
    <w:p w14:paraId="6E282026" w14:textId="6054B950" w:rsidR="00D17D76" w:rsidRPr="003028B4" w:rsidRDefault="3CF32996" w:rsidP="009A5F97">
      <w:pPr>
        <w:pStyle w:val="Heading2"/>
      </w:pPr>
      <w:r w:rsidRPr="5B5CE439">
        <w:rPr>
          <w:lang w:bidi="es-US"/>
        </w:rPr>
        <w:t>PRESENTACIONES DE ACCIONES</w:t>
      </w:r>
    </w:p>
    <w:p w14:paraId="11E50440" w14:textId="5D5C2FE8" w:rsidR="00D17D76" w:rsidRPr="003028B4" w:rsidRDefault="3CF32996" w:rsidP="006868A5">
      <w:pPr>
        <w:pStyle w:val="PR1"/>
        <w:numPr>
          <w:ilvl w:val="0"/>
          <w:numId w:val="15"/>
        </w:numPr>
      </w:pPr>
      <w:r w:rsidRPr="5B5CE439">
        <w:rPr>
          <w:lang w:bidi="es-US"/>
        </w:rPr>
        <w:t xml:space="preserve">Datos del producto: </w:t>
      </w:r>
    </w:p>
    <w:p w14:paraId="3FF06468" w14:textId="77777777" w:rsidR="0031276A" w:rsidRPr="00451662" w:rsidRDefault="3CF32996" w:rsidP="00451662">
      <w:pPr>
        <w:pStyle w:val="PR2"/>
        <w:numPr>
          <w:ilvl w:val="0"/>
          <w:numId w:val="162"/>
        </w:numPr>
        <w:rPr>
          <w:sz w:val="22"/>
          <w:szCs w:val="22"/>
        </w:rPr>
      </w:pPr>
      <w:r>
        <w:rPr>
          <w:lang w:bidi="es-US"/>
        </w:rPr>
        <w:t>Lista de materiales necesarios para instalar el sistema de control de iluminación en red.</w:t>
      </w:r>
    </w:p>
    <w:p w14:paraId="6B34DAFB" w14:textId="77777777" w:rsidR="0031276A" w:rsidRPr="00451662" w:rsidRDefault="3CF32996" w:rsidP="00451662">
      <w:pPr>
        <w:pStyle w:val="PR2"/>
        <w:numPr>
          <w:ilvl w:val="0"/>
          <w:numId w:val="162"/>
        </w:numPr>
        <w:rPr>
          <w:sz w:val="22"/>
          <w:szCs w:val="22"/>
        </w:rPr>
      </w:pPr>
      <w:r>
        <w:rPr>
          <w:lang w:bidi="es-US"/>
        </w:rPr>
        <w:t>Hojas de especificaciones del producto en las que se indican descripciones generales del dispositivo, dimensiones, especificaciones eléctricas, detalles del cableado y nomenclatura.</w:t>
      </w:r>
    </w:p>
    <w:p w14:paraId="3CABF88C" w14:textId="77777777" w:rsidR="0031276A" w:rsidRPr="00451662" w:rsidRDefault="3CF32996" w:rsidP="00451662">
      <w:pPr>
        <w:pStyle w:val="PR2"/>
        <w:numPr>
          <w:ilvl w:val="0"/>
          <w:numId w:val="162"/>
        </w:numPr>
        <w:rPr>
          <w:sz w:val="22"/>
          <w:szCs w:val="22"/>
        </w:rPr>
      </w:pPr>
      <w:r>
        <w:rPr>
          <w:lang w:bidi="es-US"/>
        </w:rPr>
        <w:t>Información de conexión de tecnología de la información (TI) relativa a la interconexión con equipos de red de TI de las instalaciones y sistemas de terceros.</w:t>
      </w:r>
    </w:p>
    <w:p w14:paraId="666FFE63" w14:textId="77777777" w:rsidR="0031276A" w:rsidRPr="00451662" w:rsidRDefault="3CF32996" w:rsidP="00451662">
      <w:pPr>
        <w:pStyle w:val="PR2"/>
        <w:numPr>
          <w:ilvl w:val="0"/>
          <w:numId w:val="162"/>
        </w:numPr>
        <w:rPr>
          <w:sz w:val="22"/>
          <w:szCs w:val="22"/>
        </w:rPr>
      </w:pPr>
      <w:r>
        <w:rPr>
          <w:lang w:bidi="es-US"/>
        </w:rPr>
        <w:t>Las notas generales y sobre el sistema definen las características del sistema que el instalador debe conocer antes de realizar la instalación.</w:t>
      </w:r>
    </w:p>
    <w:p w14:paraId="084BEAA5" w14:textId="44B81E52" w:rsidR="00D17D76" w:rsidRPr="00451662" w:rsidRDefault="3CF32996" w:rsidP="00451662">
      <w:pPr>
        <w:pStyle w:val="PR2"/>
        <w:numPr>
          <w:ilvl w:val="0"/>
          <w:numId w:val="162"/>
        </w:numPr>
        <w:rPr>
          <w:sz w:val="22"/>
          <w:szCs w:val="22"/>
        </w:rPr>
      </w:pPr>
      <w:r>
        <w:rPr>
          <w:lang w:bidi="es-US"/>
        </w:rPr>
        <w:t>Otros diagramas y descripciones operativas, según sea necesario, para indicar el funcionamiento del sistema o la interacción con otros sistemas.</w:t>
      </w:r>
    </w:p>
    <w:p w14:paraId="19C2AE02" w14:textId="5E656A2D" w:rsidR="00D17D76" w:rsidRPr="003028B4" w:rsidRDefault="773FFD49" w:rsidP="006868A5">
      <w:pPr>
        <w:pStyle w:val="PR1"/>
        <w:numPr>
          <w:ilvl w:val="0"/>
          <w:numId w:val="15"/>
        </w:numPr>
      </w:pPr>
      <w:r w:rsidRPr="5B5CE439">
        <w:rPr>
          <w:lang w:bidi="es-US"/>
        </w:rPr>
        <w:t>Planos del taller:</w:t>
      </w:r>
    </w:p>
    <w:p w14:paraId="026C73EF" w14:textId="6BE14CBD" w:rsidR="0031276A" w:rsidRPr="00451662" w:rsidRDefault="3CF32996" w:rsidP="00451662">
      <w:pPr>
        <w:pStyle w:val="PR2"/>
        <w:numPr>
          <w:ilvl w:val="0"/>
          <w:numId w:val="161"/>
        </w:numPr>
        <w:rPr>
          <w:sz w:val="22"/>
          <w:szCs w:val="22"/>
        </w:rPr>
      </w:pPr>
      <w:r>
        <w:rPr>
          <w:lang w:bidi="es-US"/>
        </w:rPr>
        <w:t>Diagrama del elevador que muestra el cableado de los dispositivos o las conexiones inalámbricas y las típicas por tipo de habitación o área.</w:t>
      </w:r>
    </w:p>
    <w:p w14:paraId="5C76847D" w14:textId="0DCCBC9C" w:rsidR="00D17D76" w:rsidRPr="00451662" w:rsidRDefault="4D452160" w:rsidP="00451662">
      <w:pPr>
        <w:pStyle w:val="PR2"/>
        <w:numPr>
          <w:ilvl w:val="0"/>
          <w:numId w:val="161"/>
        </w:numPr>
        <w:rPr>
          <w:sz w:val="22"/>
          <w:szCs w:val="22"/>
        </w:rPr>
      </w:pPr>
      <w:r>
        <w:rPr>
          <w:lang w:bidi="es-US"/>
        </w:rPr>
        <w:t>Mapa del sistema de TI que muestra cómo están conectados los dispositivos IP (especialmente para los dispositivos de red de nivel superior).</w:t>
      </w:r>
    </w:p>
    <w:p w14:paraId="1171A4A9" w14:textId="705EEB51" w:rsidR="00D17D76" w:rsidRDefault="1448989E" w:rsidP="006868A5">
      <w:pPr>
        <w:pStyle w:val="PR1"/>
        <w:numPr>
          <w:ilvl w:val="0"/>
          <w:numId w:val="15"/>
        </w:numPr>
      </w:pPr>
      <w:r w:rsidRPr="5B5CE439">
        <w:rPr>
          <w:lang w:bidi="es-US"/>
        </w:rPr>
        <w:t xml:space="preserve">Secuencia de funcionamiento: </w:t>
      </w:r>
    </w:p>
    <w:p w14:paraId="3F6C4A80" w14:textId="5E7E3588" w:rsidR="00C15A7D" w:rsidRPr="003028B4" w:rsidRDefault="00C15A7D" w:rsidP="00451662">
      <w:pPr>
        <w:pStyle w:val="PR2"/>
        <w:numPr>
          <w:ilvl w:val="0"/>
          <w:numId w:val="235"/>
        </w:numPr>
        <w:rPr>
          <w:lang w:bidi="es-US"/>
        </w:rPr>
      </w:pPr>
      <w:r w:rsidRPr="00C15A7D">
        <w:rPr>
          <w:lang w:bidi="es-US"/>
        </w:rPr>
        <w:t>Descripción de cómo funciona cada componente y cómo se logra cualquier funcionalidad en todo el edificio para superar el código energético local (Título 24 de California, ASHRAE 90.1, IECC).</w:t>
      </w:r>
    </w:p>
    <w:p w14:paraId="494DDF8A" w14:textId="397F434A" w:rsidR="007A67A4" w:rsidRDefault="3CF32996" w:rsidP="006868A5">
      <w:pPr>
        <w:pStyle w:val="PR1"/>
        <w:numPr>
          <w:ilvl w:val="0"/>
          <w:numId w:val="15"/>
        </w:numPr>
      </w:pPr>
      <w:r>
        <w:rPr>
          <w:lang w:bidi="es-US"/>
        </w:rPr>
        <w:t>Descripción de cómo funciona cada componente y cómo se logra cualquier funcionalidad en todo el edificio para superar el código energético local (Título 24 de California, ASHRAE 90.1, IECC).</w:t>
      </w:r>
    </w:p>
    <w:p w14:paraId="5A0C4137" w14:textId="4CADF99D" w:rsidR="00D17D76" w:rsidRPr="003028B4" w:rsidRDefault="3CF32996" w:rsidP="006868A5">
      <w:pPr>
        <w:pStyle w:val="PR1"/>
        <w:numPr>
          <w:ilvl w:val="0"/>
          <w:numId w:val="15"/>
        </w:numPr>
      </w:pPr>
      <w:r w:rsidRPr="5B5CE439">
        <w:rPr>
          <w:lang w:bidi="es-US"/>
        </w:rPr>
        <w:t>Formularios de encargo:</w:t>
      </w:r>
    </w:p>
    <w:p w14:paraId="1EA720AD" w14:textId="328B5AEA" w:rsidR="00D17D76" w:rsidRPr="00451662" w:rsidRDefault="3CF32996" w:rsidP="00451662">
      <w:pPr>
        <w:pStyle w:val="PR2"/>
        <w:numPr>
          <w:ilvl w:val="0"/>
          <w:numId w:val="17"/>
        </w:numPr>
        <w:rPr>
          <w:sz w:val="22"/>
          <w:szCs w:val="22"/>
        </w:rPr>
      </w:pPr>
      <w:r>
        <w:rPr>
          <w:lang w:bidi="es-US"/>
        </w:rPr>
        <w:t xml:space="preserve">El instalador debe completar los formularios antes de solicitar la puesta en marcha del sistema. </w:t>
      </w:r>
    </w:p>
    <w:p w14:paraId="45AB2ACF" w14:textId="619B54FD" w:rsidR="00D17D76" w:rsidRDefault="3CF32996" w:rsidP="009A5F97">
      <w:pPr>
        <w:pStyle w:val="Heading2"/>
      </w:pPr>
      <w:r w:rsidRPr="5B5CE439">
        <w:rPr>
          <w:lang w:bidi="es-US"/>
        </w:rPr>
        <w:t>PRESENTACIONES INFORMATIVAS</w:t>
      </w:r>
    </w:p>
    <w:p w14:paraId="480FD4C0" w14:textId="3C6AC044" w:rsidR="00D17D76" w:rsidRPr="00D17D76" w:rsidRDefault="3CF32996" w:rsidP="006868A5">
      <w:pPr>
        <w:pStyle w:val="PR1"/>
        <w:numPr>
          <w:ilvl w:val="0"/>
          <w:numId w:val="18"/>
        </w:numPr>
      </w:pPr>
      <w:r w:rsidRPr="5B5CE439">
        <w:rPr>
          <w:lang w:bidi="es-US"/>
        </w:rPr>
        <w:t>Hoja de trabajo del contratista para la puesta en marcha/funcionamiento.</w:t>
      </w:r>
    </w:p>
    <w:p w14:paraId="36296DCC" w14:textId="40C605E0" w:rsidR="00D17D76" w:rsidRPr="00D17D76" w:rsidRDefault="3CF32996" w:rsidP="006868A5">
      <w:pPr>
        <w:pStyle w:val="PR1"/>
        <w:numPr>
          <w:ilvl w:val="0"/>
          <w:numId w:val="18"/>
        </w:numPr>
      </w:pPr>
      <w:r w:rsidRPr="5B5CE439">
        <w:rPr>
          <w:lang w:bidi="es-US"/>
        </w:rPr>
        <w:t>Hojas de especificaciones del servicio que indican descripciones generales del servicio, incluida la puesta en marcha, la capacitación, la asistencia posterior a la puesta en marcha y las condiciones del contrato de servicio.</w:t>
      </w:r>
    </w:p>
    <w:p w14:paraId="67D381D9" w14:textId="77DCE4C4" w:rsidR="00D17D76" w:rsidRPr="00D17D76" w:rsidRDefault="3CF32996" w:rsidP="006868A5">
      <w:pPr>
        <w:pStyle w:val="PR1"/>
        <w:numPr>
          <w:ilvl w:val="0"/>
          <w:numId w:val="18"/>
        </w:numPr>
      </w:pPr>
      <w:r w:rsidRPr="5B5CE439">
        <w:rPr>
          <w:lang w:bidi="es-US"/>
        </w:rPr>
        <w:t>Informes de control de calidad en el campo.</w:t>
      </w:r>
    </w:p>
    <w:p w14:paraId="79941757" w14:textId="2E06D264" w:rsidR="00D17D76" w:rsidRPr="00D17D76" w:rsidRDefault="3CF32996" w:rsidP="006868A5">
      <w:pPr>
        <w:pStyle w:val="PR1"/>
        <w:numPr>
          <w:ilvl w:val="0"/>
          <w:numId w:val="18"/>
        </w:numPr>
      </w:pPr>
      <w:r w:rsidRPr="5B5CE439">
        <w:rPr>
          <w:lang w:bidi="es-US"/>
        </w:rPr>
        <w:t xml:space="preserve">Muestra de garantía: </w:t>
      </w:r>
      <w:r w:rsidR="00C2292B">
        <w:rPr>
          <w:lang w:bidi="es-US"/>
        </w:rPr>
        <w:t>p</w:t>
      </w:r>
      <w:r w:rsidRPr="5B5CE439">
        <w:rPr>
          <w:lang w:bidi="es-US"/>
        </w:rPr>
        <w:t>ara la garantía especial del fabricante.</w:t>
      </w:r>
    </w:p>
    <w:p w14:paraId="522C4258" w14:textId="77777777" w:rsidR="00D17D76" w:rsidRDefault="79CE5EA3" w:rsidP="009A5F97">
      <w:pPr>
        <w:pStyle w:val="Heading2"/>
      </w:pPr>
      <w:r w:rsidRPr="5B5CE439">
        <w:rPr>
          <w:lang w:bidi="es-US"/>
        </w:rPr>
        <w:t>PRESENTACIONES DE CIERRE</w:t>
      </w:r>
    </w:p>
    <w:p w14:paraId="008F7F22" w14:textId="77777777" w:rsidR="0031276A" w:rsidRDefault="3CF32996" w:rsidP="006868A5">
      <w:pPr>
        <w:pStyle w:val="PR1"/>
        <w:numPr>
          <w:ilvl w:val="0"/>
          <w:numId w:val="163"/>
        </w:numPr>
      </w:pPr>
      <w:r w:rsidRPr="5B5CE439">
        <w:rPr>
          <w:lang w:bidi="es-US"/>
        </w:rPr>
        <w:t>Contratos de mantenimiento</w:t>
      </w:r>
    </w:p>
    <w:p w14:paraId="7762A6F5" w14:textId="77777777" w:rsidR="0031276A" w:rsidRDefault="3CF32996" w:rsidP="006868A5">
      <w:pPr>
        <w:pStyle w:val="PR1"/>
        <w:numPr>
          <w:ilvl w:val="0"/>
          <w:numId w:val="163"/>
        </w:numPr>
      </w:pPr>
      <w:r w:rsidRPr="5B5CE439">
        <w:rPr>
          <w:lang w:bidi="es-US"/>
        </w:rPr>
        <w:t xml:space="preserve">Manuales de uso del hardware y software </w:t>
      </w:r>
    </w:p>
    <w:p w14:paraId="4185E9BD" w14:textId="77777777" w:rsidR="0031276A" w:rsidRPr="006868A5" w:rsidRDefault="182A830A" w:rsidP="006868A5">
      <w:pPr>
        <w:pStyle w:val="PR1"/>
        <w:numPr>
          <w:ilvl w:val="0"/>
          <w:numId w:val="163"/>
        </w:numPr>
        <w:rPr>
          <w:sz w:val="24"/>
          <w:szCs w:val="24"/>
        </w:rPr>
      </w:pPr>
      <w:r w:rsidRPr="5B5CE439">
        <w:rPr>
          <w:lang w:bidi="es-US"/>
        </w:rPr>
        <w:lastRenderedPageBreak/>
        <w:t>Contrato de servicio de mantenimiento</w:t>
      </w:r>
    </w:p>
    <w:p w14:paraId="41F0339F" w14:textId="6527C38D" w:rsidR="00D17D76" w:rsidRPr="006868A5" w:rsidRDefault="3CF32996" w:rsidP="006868A5">
      <w:pPr>
        <w:pStyle w:val="PR1"/>
        <w:numPr>
          <w:ilvl w:val="0"/>
          <w:numId w:val="163"/>
        </w:numPr>
        <w:rPr>
          <w:sz w:val="24"/>
          <w:szCs w:val="24"/>
        </w:rPr>
      </w:pPr>
      <w:r w:rsidRPr="5B5CE439">
        <w:rPr>
          <w:lang w:bidi="es-US"/>
        </w:rPr>
        <w:t>Documentación de la garantía</w:t>
      </w:r>
    </w:p>
    <w:p w14:paraId="6A9457AF" w14:textId="77777777" w:rsidR="00F55540" w:rsidRPr="002F0466" w:rsidRDefault="79CE5EA3" w:rsidP="009A5F97">
      <w:pPr>
        <w:pStyle w:val="Heading2"/>
      </w:pPr>
      <w:r w:rsidRPr="5B5CE439">
        <w:rPr>
          <w:lang w:bidi="es-US"/>
        </w:rPr>
        <w:t>GARANTÍA DE CALIDAD</w:t>
      </w:r>
    </w:p>
    <w:p w14:paraId="160CB838" w14:textId="77777777" w:rsidR="0031276A" w:rsidRPr="006868A5" w:rsidRDefault="3CF32996" w:rsidP="006868A5">
      <w:pPr>
        <w:pStyle w:val="PR1"/>
        <w:numPr>
          <w:ilvl w:val="0"/>
          <w:numId w:val="19"/>
        </w:numPr>
        <w:rPr>
          <w:sz w:val="24"/>
          <w:szCs w:val="24"/>
        </w:rPr>
      </w:pPr>
      <w:r w:rsidRPr="5B5CE439">
        <w:rPr>
          <w:lang w:bidi="es-US"/>
        </w:rPr>
        <w:t>Calificaciones del fabricante</w:t>
      </w:r>
    </w:p>
    <w:p w14:paraId="1D8AF5B9" w14:textId="77777777" w:rsidR="0031276A" w:rsidRPr="006868A5" w:rsidRDefault="3CF32996" w:rsidP="006868A5">
      <w:pPr>
        <w:pStyle w:val="PR1"/>
        <w:numPr>
          <w:ilvl w:val="0"/>
          <w:numId w:val="19"/>
        </w:numPr>
        <w:rPr>
          <w:sz w:val="24"/>
          <w:szCs w:val="24"/>
        </w:rPr>
      </w:pPr>
      <w:r w:rsidRPr="5B5CE439">
        <w:rPr>
          <w:lang w:bidi="es-US"/>
        </w:rPr>
        <w:t>Asistencia telefónica: el fabricante ofrecerá asistencia técnica gratuita a través de una herramienta en línea para programar una cita de asistencia técnica y proporcionará asistencia de emergencia 24 horas al día, 7 días a la semana.</w:t>
      </w:r>
    </w:p>
    <w:p w14:paraId="005EB51E" w14:textId="70B65294" w:rsidR="0031276A" w:rsidRPr="006868A5" w:rsidRDefault="3CF32996" w:rsidP="006868A5">
      <w:pPr>
        <w:pStyle w:val="PR1"/>
        <w:numPr>
          <w:ilvl w:val="0"/>
          <w:numId w:val="19"/>
        </w:numPr>
        <w:rPr>
          <w:sz w:val="24"/>
          <w:szCs w:val="24"/>
        </w:rPr>
      </w:pPr>
      <w:r w:rsidRPr="5B5CE439">
        <w:rPr>
          <w:lang w:bidi="es-US"/>
        </w:rPr>
        <w:t>Asistencia a distancia: el fabricante deberá poder ofrecer asistencia a distancia y conectarse de forma virtual con los clientes para resolver problemas con orientación visual superpuesta sobre imágenes de objetos del mundo real.</w:t>
      </w:r>
    </w:p>
    <w:p w14:paraId="169DBB68" w14:textId="53BFCE6B" w:rsidR="00D17D76" w:rsidRPr="006868A5" w:rsidRDefault="3CF32996" w:rsidP="006868A5">
      <w:pPr>
        <w:pStyle w:val="PR1"/>
        <w:numPr>
          <w:ilvl w:val="0"/>
          <w:numId w:val="19"/>
        </w:numPr>
        <w:rPr>
          <w:sz w:val="24"/>
          <w:szCs w:val="24"/>
        </w:rPr>
      </w:pPr>
      <w:r w:rsidRPr="5B5CE439">
        <w:rPr>
          <w:lang w:bidi="es-US"/>
        </w:rPr>
        <w:t xml:space="preserve">Asistencia </w:t>
      </w:r>
      <w:r w:rsidRPr="00C2292B">
        <w:rPr>
          <w:i/>
          <w:iCs/>
          <w:lang w:bidi="es-US"/>
        </w:rPr>
        <w:t>in situ</w:t>
      </w:r>
      <w:r w:rsidRPr="5B5CE439">
        <w:rPr>
          <w:lang w:bidi="es-US"/>
        </w:rPr>
        <w:t xml:space="preserve">: el fabricante deberá poder proporcionar un tiempo de respuesta </w:t>
      </w:r>
      <w:r w:rsidRPr="00C2292B">
        <w:rPr>
          <w:i/>
          <w:iCs/>
          <w:lang w:bidi="es-US"/>
        </w:rPr>
        <w:t>in situ</w:t>
      </w:r>
      <w:r w:rsidRPr="5B5CE439">
        <w:rPr>
          <w:lang w:bidi="es-US"/>
        </w:rPr>
        <w:t xml:space="preserve"> de 72 horas dentro del territorio continental de Estados Unidos y Canadá.</w:t>
      </w:r>
    </w:p>
    <w:p w14:paraId="59C04772" w14:textId="1B205604" w:rsidR="00D17D76" w:rsidRPr="006868A5" w:rsidRDefault="3CF32996" w:rsidP="006868A5">
      <w:pPr>
        <w:pStyle w:val="PR1"/>
        <w:numPr>
          <w:ilvl w:val="0"/>
          <w:numId w:val="19"/>
        </w:numPr>
        <w:rPr>
          <w:sz w:val="24"/>
          <w:szCs w:val="24"/>
        </w:rPr>
      </w:pPr>
      <w:r w:rsidRPr="5B5CE439">
        <w:rPr>
          <w:lang w:bidi="es-US"/>
        </w:rPr>
        <w:t xml:space="preserve">Contratos de servicios: el fabricante deberá poder proporcionar contratos de servicio para la asistencia continuada </w:t>
      </w:r>
      <w:r w:rsidRPr="00C2292B">
        <w:rPr>
          <w:i/>
          <w:iCs/>
          <w:lang w:bidi="es-US"/>
        </w:rPr>
        <w:t>in situ</w:t>
      </w:r>
      <w:r w:rsidRPr="5B5CE439">
        <w:rPr>
          <w:lang w:bidi="es-US"/>
        </w:rPr>
        <w:t xml:space="preserve"> y a distancia del sistema de control de iluminación después de la instalación por plazos de hasta 10 años a partir de la finalización sustancial. Estos contratos deben incluir lo siguiente:</w:t>
      </w:r>
    </w:p>
    <w:p w14:paraId="0CB3D5B5" w14:textId="01EFE7A3" w:rsidR="00D17D76" w:rsidRPr="006868A5" w:rsidRDefault="006868A5" w:rsidP="006868A5">
      <w:pPr>
        <w:pStyle w:val="PR1"/>
        <w:numPr>
          <w:ilvl w:val="0"/>
          <w:numId w:val="19"/>
        </w:numPr>
        <w:rPr>
          <w:sz w:val="24"/>
          <w:szCs w:val="24"/>
        </w:rPr>
      </w:pPr>
      <w:r w:rsidRPr="5B5CE439">
        <w:rPr>
          <w:lang w:bidi="es-US"/>
        </w:rPr>
        <w:t xml:space="preserve">Respuesta de emergencia remota e </w:t>
      </w:r>
      <w:r w:rsidRPr="00C2292B">
        <w:rPr>
          <w:i/>
          <w:iCs/>
          <w:lang w:bidi="es-US"/>
        </w:rPr>
        <w:t>in situ</w:t>
      </w:r>
      <w:r w:rsidRPr="5B5CE439">
        <w:rPr>
          <w:lang w:bidi="es-US"/>
        </w:rPr>
        <w:t>;</w:t>
      </w:r>
    </w:p>
    <w:p w14:paraId="5469D168" w14:textId="75290409" w:rsidR="00D17D76" w:rsidRPr="006868A5" w:rsidRDefault="006868A5" w:rsidP="006868A5">
      <w:pPr>
        <w:pStyle w:val="PR1"/>
        <w:numPr>
          <w:ilvl w:val="0"/>
          <w:numId w:val="19"/>
        </w:numPr>
        <w:rPr>
          <w:sz w:val="24"/>
          <w:szCs w:val="24"/>
        </w:rPr>
      </w:pPr>
      <w:r w:rsidRPr="5B5CE439">
        <w:rPr>
          <w:lang w:bidi="es-US"/>
        </w:rPr>
        <w:t xml:space="preserve">Comprobaciones remotas del rendimiento del sistema; </w:t>
      </w:r>
    </w:p>
    <w:p w14:paraId="35B1C337" w14:textId="4E7791F3" w:rsidR="00D17D76" w:rsidRPr="006868A5" w:rsidRDefault="006868A5" w:rsidP="006868A5">
      <w:pPr>
        <w:pStyle w:val="PR1"/>
        <w:numPr>
          <w:ilvl w:val="0"/>
          <w:numId w:val="19"/>
        </w:numPr>
        <w:rPr>
          <w:sz w:val="24"/>
          <w:szCs w:val="24"/>
        </w:rPr>
      </w:pPr>
      <w:r w:rsidRPr="5B5CE439">
        <w:rPr>
          <w:lang w:bidi="es-US"/>
        </w:rPr>
        <w:t>Diagnóstico a distancia;</w:t>
      </w:r>
    </w:p>
    <w:p w14:paraId="66E9DB72" w14:textId="5D9AF675" w:rsidR="00D17D76" w:rsidRPr="006868A5" w:rsidRDefault="006868A5" w:rsidP="006868A5">
      <w:pPr>
        <w:pStyle w:val="PR1"/>
        <w:numPr>
          <w:ilvl w:val="0"/>
          <w:numId w:val="19"/>
        </w:numPr>
        <w:rPr>
          <w:sz w:val="24"/>
          <w:szCs w:val="24"/>
        </w:rPr>
      </w:pPr>
      <w:r w:rsidRPr="5B5CE439">
        <w:rPr>
          <w:lang w:bidi="es-US"/>
        </w:rPr>
        <w:t>Piezas de repuesto.</w:t>
      </w:r>
    </w:p>
    <w:p w14:paraId="4C96DB1D" w14:textId="77777777" w:rsidR="00F55540" w:rsidRPr="002F0466" w:rsidRDefault="79CE5EA3" w:rsidP="009A5F97">
      <w:pPr>
        <w:pStyle w:val="Heading2"/>
      </w:pPr>
      <w:r w:rsidRPr="5B5CE439">
        <w:rPr>
          <w:lang w:bidi="es-US"/>
        </w:rPr>
        <w:t>GARANTÍA</w:t>
      </w:r>
    </w:p>
    <w:p w14:paraId="243541D6" w14:textId="6F02D2AE" w:rsidR="00D17D76" w:rsidRPr="006868A5" w:rsidRDefault="3CF32996" w:rsidP="006868A5">
      <w:pPr>
        <w:pStyle w:val="PR1"/>
        <w:numPr>
          <w:ilvl w:val="0"/>
          <w:numId w:val="20"/>
        </w:numPr>
        <w:rPr>
          <w:sz w:val="24"/>
          <w:szCs w:val="24"/>
        </w:rPr>
      </w:pPr>
      <w:r w:rsidRPr="5B5CE439">
        <w:rPr>
          <w:lang w:bidi="es-US"/>
        </w:rPr>
        <w:t xml:space="preserve">Garantía: </w:t>
      </w:r>
      <w:r w:rsidR="00C2292B">
        <w:rPr>
          <w:lang w:bidi="es-US"/>
        </w:rPr>
        <w:t>e</w:t>
      </w:r>
      <w:r w:rsidRPr="5B5CE439">
        <w:rPr>
          <w:lang w:bidi="es-US"/>
        </w:rPr>
        <w:t>l fabricante y el instalador garantizan que los dispositivos de control de iluminación instalados funcionan según los requisitos especificados y se comprometen reparar o sustituir los dispositivos que no funcionen (mano de obra, materiales y equipos incluidos) según lo especificado dentro del período de garantía extendida.</w:t>
      </w:r>
    </w:p>
    <w:p w14:paraId="027E707B" w14:textId="12D938E8" w:rsidR="00D17D76" w:rsidRDefault="3CF32996" w:rsidP="006868A5">
      <w:pPr>
        <w:pStyle w:val="PR1"/>
        <w:numPr>
          <w:ilvl w:val="0"/>
          <w:numId w:val="20"/>
        </w:numPr>
      </w:pPr>
      <w:r w:rsidRPr="5B5CE439">
        <w:rPr>
          <w:lang w:bidi="es-US"/>
        </w:rPr>
        <w:t>Las fallas incluyen, entre otras, las siguientes:</w:t>
      </w:r>
    </w:p>
    <w:p w14:paraId="47ADBF0D" w14:textId="42216674" w:rsidR="00D17D76" w:rsidRPr="00451662" w:rsidRDefault="00C73405" w:rsidP="00451662">
      <w:pPr>
        <w:pStyle w:val="PR2"/>
        <w:numPr>
          <w:ilvl w:val="0"/>
          <w:numId w:val="21"/>
        </w:numPr>
        <w:rPr>
          <w:sz w:val="24"/>
          <w:szCs w:val="24"/>
        </w:rPr>
      </w:pPr>
      <w:r w:rsidRPr="5B5CE439">
        <w:rPr>
          <w:lang w:bidi="es-US"/>
        </w:rPr>
        <w:t>Funcionamiento defectuoso del hardware de control de iluminación;</w:t>
      </w:r>
    </w:p>
    <w:p w14:paraId="6F87418B" w14:textId="22769CD6" w:rsidR="00D17D76" w:rsidRPr="00451662" w:rsidRDefault="00C73405" w:rsidP="00451662">
      <w:pPr>
        <w:pStyle w:val="PR2"/>
        <w:numPr>
          <w:ilvl w:val="0"/>
          <w:numId w:val="21"/>
        </w:numPr>
        <w:rPr>
          <w:sz w:val="24"/>
          <w:szCs w:val="24"/>
        </w:rPr>
      </w:pPr>
      <w:r w:rsidRPr="5B5CE439">
        <w:rPr>
          <w:lang w:bidi="es-US"/>
        </w:rPr>
        <w:t>Funcionamiento defectuoso del firmware de control de iluminación;</w:t>
      </w:r>
    </w:p>
    <w:p w14:paraId="4BCEFFA5" w14:textId="0B83AE15" w:rsidR="00F55540" w:rsidRPr="003028B4" w:rsidRDefault="3CF32996" w:rsidP="00451662">
      <w:pPr>
        <w:pStyle w:val="PR2"/>
        <w:numPr>
          <w:ilvl w:val="0"/>
          <w:numId w:val="21"/>
        </w:numPr>
      </w:pPr>
      <w:r w:rsidRPr="5B5CE439">
        <w:rPr>
          <w:lang w:bidi="es-US"/>
        </w:rPr>
        <w:t>&lt;</w:t>
      </w:r>
      <w:r w:rsidR="00350142" w:rsidRPr="00350142">
        <w:rPr>
          <w:lang w:bidi="es-US"/>
        </w:rPr>
        <w:t>Insertar modos de fallas</w:t>
      </w:r>
      <w:r w:rsidRPr="5B5CE439">
        <w:rPr>
          <w:lang w:bidi="es-US"/>
        </w:rPr>
        <w:t>&gt;.</w:t>
      </w:r>
    </w:p>
    <w:p w14:paraId="2D5DC4EF" w14:textId="11944908" w:rsidR="00F55540" w:rsidRPr="003028B4" w:rsidRDefault="7F869D7A" w:rsidP="006868A5">
      <w:pPr>
        <w:pStyle w:val="PR1"/>
        <w:numPr>
          <w:ilvl w:val="0"/>
          <w:numId w:val="20"/>
        </w:numPr>
      </w:pPr>
      <w:r w:rsidRPr="5B5CE439">
        <w:rPr>
          <w:lang w:bidi="es-US"/>
        </w:rPr>
        <w:t>Período mínimo de garantía</w:t>
      </w:r>
    </w:p>
    <w:p w14:paraId="79588627" w14:textId="5126F156" w:rsidR="00F55540" w:rsidRPr="003028B4" w:rsidRDefault="006868A5" w:rsidP="006868A5">
      <w:pPr>
        <w:pStyle w:val="PR1"/>
        <w:numPr>
          <w:ilvl w:val="0"/>
          <w:numId w:val="20"/>
        </w:numPr>
      </w:pPr>
      <w:r w:rsidRPr="5B5CE439">
        <w:rPr>
          <w:lang w:bidi="es-US"/>
        </w:rPr>
        <w:t xml:space="preserve">Cinco </w:t>
      </w:r>
      <w:r w:rsidR="3CF32996" w:rsidRPr="5B5CE439">
        <w:rPr>
          <w:lang w:bidi="es-US"/>
        </w:rPr>
        <w:t>años para los dispositivos de control de iluminación a partir de la fecha de envío;</w:t>
      </w:r>
    </w:p>
    <w:p w14:paraId="6BC52F0C" w14:textId="0A376D7B" w:rsidR="00F55540" w:rsidRPr="003028B4" w:rsidRDefault="006868A5" w:rsidP="006868A5">
      <w:pPr>
        <w:pStyle w:val="PR1"/>
        <w:numPr>
          <w:ilvl w:val="0"/>
          <w:numId w:val="20"/>
        </w:numPr>
      </w:pPr>
      <w:r w:rsidRPr="5B5CE439">
        <w:rPr>
          <w:lang w:bidi="es-US"/>
        </w:rPr>
        <w:t xml:space="preserve">Un </w:t>
      </w:r>
      <w:r w:rsidR="3CF32996" w:rsidRPr="5B5CE439">
        <w:rPr>
          <w:lang w:bidi="es-US"/>
        </w:rPr>
        <w:t>año para el controlador supervisor a partir de la fecha de envío;</w:t>
      </w:r>
    </w:p>
    <w:p w14:paraId="1E9D3377" w14:textId="56F63661" w:rsidR="00F55540" w:rsidRPr="003028B4" w:rsidRDefault="006868A5" w:rsidP="006868A5">
      <w:pPr>
        <w:pStyle w:val="PR1"/>
        <w:numPr>
          <w:ilvl w:val="0"/>
          <w:numId w:val="20"/>
        </w:numPr>
      </w:pPr>
      <w:r w:rsidRPr="5B5CE439">
        <w:rPr>
          <w:lang w:bidi="es-US"/>
        </w:rPr>
        <w:t xml:space="preserve">Un </w:t>
      </w:r>
      <w:r w:rsidR="3CF32996" w:rsidRPr="5B5CE439">
        <w:rPr>
          <w:lang w:bidi="es-US"/>
        </w:rPr>
        <w:t>año para la aplicación de software de gestión de iluminación a partir de la fecha de envío.</w:t>
      </w:r>
    </w:p>
    <w:p w14:paraId="5075781E" w14:textId="67A7484A" w:rsidR="00F55540" w:rsidRPr="003028B4" w:rsidRDefault="5D3EF393" w:rsidP="006868A5">
      <w:pPr>
        <w:pStyle w:val="PR1"/>
        <w:numPr>
          <w:ilvl w:val="0"/>
          <w:numId w:val="20"/>
        </w:numPr>
      </w:pPr>
      <w:r w:rsidRPr="5B5CE439">
        <w:rPr>
          <w:lang w:bidi="es-US"/>
        </w:rPr>
        <w:t>Piezas de repuesto recomendadas:</w:t>
      </w:r>
    </w:p>
    <w:p w14:paraId="0FAD9239" w14:textId="06B6134B" w:rsidR="00F55540" w:rsidRPr="00451662" w:rsidRDefault="3CF32996" w:rsidP="00451662">
      <w:pPr>
        <w:pStyle w:val="PR2"/>
        <w:numPr>
          <w:ilvl w:val="0"/>
          <w:numId w:val="22"/>
        </w:numPr>
        <w:rPr>
          <w:sz w:val="24"/>
          <w:szCs w:val="24"/>
        </w:rPr>
      </w:pPr>
      <w:r w:rsidRPr="5B5CE439">
        <w:rPr>
          <w:lang w:bidi="es-US"/>
        </w:rPr>
        <w:t>Sensores de techo: uno (1) de repuesto por cada 200 instalados que se utilizará para el mantenimiento.</w:t>
      </w:r>
    </w:p>
    <w:p w14:paraId="029DDF81" w14:textId="660FCA9B" w:rsidR="00F55540" w:rsidRPr="003028B4" w:rsidRDefault="3CF32996" w:rsidP="00451662">
      <w:pPr>
        <w:pStyle w:val="PR2"/>
        <w:rPr>
          <w:sz w:val="24"/>
          <w:szCs w:val="24"/>
        </w:rPr>
      </w:pPr>
      <w:r w:rsidRPr="5B5CE439">
        <w:rPr>
          <w:lang w:bidi="es-US"/>
        </w:rPr>
        <w:t>Unidades de pared: una (1) de repuesto por cada 200 instaladas para el mantenimiento.</w:t>
      </w:r>
    </w:p>
    <w:p w14:paraId="1C9CF2CE" w14:textId="2A3FE99D" w:rsidR="00F55540" w:rsidRPr="003028B4" w:rsidRDefault="69B3C429" w:rsidP="00451662">
      <w:pPr>
        <w:pStyle w:val="PR2"/>
        <w:rPr>
          <w:sz w:val="24"/>
          <w:szCs w:val="24"/>
        </w:rPr>
      </w:pPr>
      <w:r w:rsidRPr="5B5CE439">
        <w:rPr>
          <w:lang w:bidi="es-US"/>
        </w:rPr>
        <w:t>Receptáculo: uno (1) de repuesto por cada 100 instalados para el mantenimiento.</w:t>
      </w:r>
    </w:p>
    <w:p w14:paraId="2D48E45B" w14:textId="25BCC6DD" w:rsidR="00F55540" w:rsidRPr="003028B4" w:rsidRDefault="3CF32996" w:rsidP="00451662">
      <w:pPr>
        <w:pStyle w:val="PR2"/>
        <w:rPr>
          <w:sz w:val="24"/>
          <w:szCs w:val="24"/>
        </w:rPr>
      </w:pPr>
      <w:r w:rsidRPr="5B5CE439">
        <w:rPr>
          <w:lang w:bidi="es-US"/>
        </w:rPr>
        <w:t>Paquete de interruptores de relé: uno (1) de repuesto por cada 200 instalados para el mantenimiento.</w:t>
      </w:r>
    </w:p>
    <w:p w14:paraId="1D68EC3A" w14:textId="34824CC4" w:rsidR="00F55540" w:rsidRDefault="304D35F7" w:rsidP="00451662">
      <w:pPr>
        <w:pStyle w:val="PR2"/>
        <w:rPr>
          <w:sz w:val="24"/>
          <w:szCs w:val="24"/>
        </w:rPr>
      </w:pPr>
      <w:r w:rsidRPr="5B5CE439">
        <w:rPr>
          <w:lang w:bidi="es-US"/>
        </w:rPr>
        <w:t>Controlador de área: uno (1) de repuesto por cada 100 instalados para el mantenimiento.</w:t>
      </w:r>
    </w:p>
    <w:p w14:paraId="7613311E" w14:textId="3D0F57F1" w:rsidR="00010B36" w:rsidRDefault="47EDEBAF" w:rsidP="00451662">
      <w:pPr>
        <w:pStyle w:val="PR2"/>
        <w:rPr>
          <w:sz w:val="24"/>
          <w:szCs w:val="24"/>
        </w:rPr>
      </w:pPr>
      <w:r w:rsidRPr="5B5CE439">
        <w:rPr>
          <w:lang w:bidi="es-US"/>
        </w:rPr>
        <w:t>Concentrador de área: uno (1) de repuesto por cada 100 instalados para el mantenimiento.</w:t>
      </w:r>
    </w:p>
    <w:p w14:paraId="7E198C8A" w14:textId="19D5B0F0" w:rsidR="00C75A8E" w:rsidRDefault="7F658331" w:rsidP="00451662">
      <w:pPr>
        <w:pStyle w:val="PR2"/>
        <w:rPr>
          <w:sz w:val="24"/>
          <w:szCs w:val="24"/>
        </w:rPr>
      </w:pPr>
      <w:r w:rsidRPr="5B5CE439">
        <w:rPr>
          <w:lang w:bidi="es-US"/>
        </w:rPr>
        <w:t>Controlador del panel: uno (1) de repuesto por cada 100 instalados para el mantenimiento.</w:t>
      </w:r>
    </w:p>
    <w:p w14:paraId="677A4AC8" w14:textId="6828736E" w:rsidR="00E20A2E" w:rsidRDefault="4C7A0ED8" w:rsidP="00451662">
      <w:pPr>
        <w:pStyle w:val="PR2"/>
        <w:rPr>
          <w:sz w:val="24"/>
          <w:szCs w:val="24"/>
        </w:rPr>
      </w:pPr>
      <w:r w:rsidRPr="5B5CE439">
        <w:rPr>
          <w:lang w:bidi="es-US"/>
        </w:rPr>
        <w:lastRenderedPageBreak/>
        <w:t>Teclado del panel: uno (1) de repuesto por cada 100 instalados para el mantenimiento.</w:t>
      </w:r>
    </w:p>
    <w:p w14:paraId="33204437" w14:textId="07593FF9" w:rsidR="00C75A8E" w:rsidRDefault="7F658331" w:rsidP="00451662">
      <w:pPr>
        <w:pStyle w:val="PR2"/>
        <w:rPr>
          <w:sz w:val="24"/>
          <w:szCs w:val="24"/>
        </w:rPr>
      </w:pPr>
      <w:r w:rsidRPr="5B5CE439">
        <w:rPr>
          <w:lang w:bidi="es-US"/>
        </w:rPr>
        <w:t>Relé del panel: uno (1) de repuesto por cada 100 instalados para el mantenimiento.</w:t>
      </w:r>
    </w:p>
    <w:p w14:paraId="278FF314" w14:textId="6AD8438F" w:rsidR="00C75A8E" w:rsidRPr="00C75A8E" w:rsidRDefault="7F658331" w:rsidP="00451662">
      <w:pPr>
        <w:pStyle w:val="PR2"/>
        <w:rPr>
          <w:sz w:val="24"/>
          <w:szCs w:val="24"/>
        </w:rPr>
      </w:pPr>
      <w:r w:rsidRPr="5B5CE439">
        <w:rPr>
          <w:lang w:bidi="es-US"/>
        </w:rPr>
        <w:t>Módulo de atenuación del panel: uno (1) de repuesto por cada 100 instalados para el mantenimiento.</w:t>
      </w:r>
    </w:p>
    <w:p w14:paraId="3CE0ED2D" w14:textId="3CCF771E" w:rsidR="00FF3CB8" w:rsidRDefault="7655B9B8" w:rsidP="00451662">
      <w:pPr>
        <w:pStyle w:val="PR2"/>
        <w:rPr>
          <w:sz w:val="24"/>
          <w:szCs w:val="24"/>
        </w:rPr>
      </w:pPr>
      <w:r w:rsidRPr="5B5CE439">
        <w:rPr>
          <w:lang w:bidi="es-US"/>
        </w:rPr>
        <w:t>Módulo de alimentación de bajo voltaje: uno (1) de repuesto por cada 100 instalados para el mantenimiento.</w:t>
      </w:r>
    </w:p>
    <w:p w14:paraId="4AA174B1" w14:textId="6D0C6AA3" w:rsidR="19A25804" w:rsidRDefault="19A25804" w:rsidP="00451662">
      <w:pPr>
        <w:pStyle w:val="PR2"/>
        <w:rPr>
          <w:sz w:val="24"/>
          <w:szCs w:val="24"/>
        </w:rPr>
      </w:pPr>
      <w:r w:rsidRPr="5B5CE439">
        <w:rPr>
          <w:lang w:bidi="es-US"/>
        </w:rPr>
        <w:t>Pantallas táctiles: una (1) de repuesto por cada 50 instaladas para el mantenimiento.</w:t>
      </w:r>
    </w:p>
    <w:p w14:paraId="39C72A7E" w14:textId="77777777" w:rsidR="00DA1531" w:rsidRPr="003028B4" w:rsidRDefault="00DA1531" w:rsidP="5B5CE439">
      <w:pPr>
        <w:ind w:left="0" w:firstLine="0"/>
      </w:pPr>
    </w:p>
    <w:p w14:paraId="4ECA6719" w14:textId="56DEC62A" w:rsidR="005A6F5A" w:rsidRPr="005A6F5A" w:rsidRDefault="005A6F5A" w:rsidP="005A6F5A">
      <w:pPr>
        <w:pStyle w:val="PRT"/>
        <w:rPr>
          <w:rFonts w:eastAsia="Arial"/>
        </w:rPr>
      </w:pPr>
      <w:r>
        <w:rPr>
          <w:rFonts w:eastAsia="Arial"/>
          <w:lang w:bidi="es-US"/>
        </w:rPr>
        <w:t xml:space="preserve"> PRODUCTOS</w:t>
      </w:r>
    </w:p>
    <w:p w14:paraId="08B7E168" w14:textId="0E3628DD" w:rsidR="009A5F97" w:rsidRPr="005A6F5A" w:rsidRDefault="3CF32996" w:rsidP="005A6F5A">
      <w:pPr>
        <w:pStyle w:val="Heading2"/>
      </w:pPr>
      <w:r w:rsidRPr="005A6F5A">
        <w:rPr>
          <w:lang w:bidi="es-US"/>
        </w:rPr>
        <w:t>CONFORMIDAD DEL SISTEMA</w:t>
      </w:r>
    </w:p>
    <w:p w14:paraId="7BFADDBB" w14:textId="278C7E23" w:rsidR="7BB1D354" w:rsidRDefault="452E4E4A" w:rsidP="006868A5">
      <w:pPr>
        <w:pStyle w:val="PR1"/>
        <w:numPr>
          <w:ilvl w:val="0"/>
          <w:numId w:val="23"/>
        </w:numPr>
      </w:pPr>
      <w:r>
        <w:rPr>
          <w:lang w:bidi="es-US"/>
        </w:rPr>
        <w:t>Componentes fabricados de conformidad con las normas UL 916 y UL 924, cuando corresponda.</w:t>
      </w:r>
    </w:p>
    <w:p w14:paraId="2BFEF0A7" w14:textId="2004934E" w:rsidR="7BB1D354" w:rsidRDefault="452E4E4A" w:rsidP="006868A5">
      <w:pPr>
        <w:pStyle w:val="PR1"/>
        <w:numPr>
          <w:ilvl w:val="0"/>
          <w:numId w:val="23"/>
        </w:numPr>
      </w:pPr>
      <w:r>
        <w:rPr>
          <w:lang w:bidi="es-US"/>
        </w:rPr>
        <w:t>Componentes fabricados de conformidad con las normas CFR Título 47, Parte 15, cuando corresponda.</w:t>
      </w:r>
    </w:p>
    <w:p w14:paraId="62CE163E" w14:textId="5CFC86C0" w:rsidR="7BB1D354" w:rsidRDefault="452E4E4A" w:rsidP="006868A5">
      <w:pPr>
        <w:pStyle w:val="PR1"/>
        <w:numPr>
          <w:ilvl w:val="0"/>
          <w:numId w:val="23"/>
        </w:numPr>
      </w:pPr>
      <w:r>
        <w:rPr>
          <w:lang w:bidi="es-US"/>
        </w:rPr>
        <w:t xml:space="preserve">Componentes fabricados de conformidad con las normas ISED </w:t>
      </w:r>
      <w:proofErr w:type="spellStart"/>
      <w:r>
        <w:rPr>
          <w:lang w:bidi="es-US"/>
        </w:rPr>
        <w:t>Canada</w:t>
      </w:r>
      <w:proofErr w:type="spellEnd"/>
      <w:r>
        <w:rPr>
          <w:lang w:bidi="es-US"/>
        </w:rPr>
        <w:t xml:space="preserve"> RSS-247, cuando corresponda.</w:t>
      </w:r>
    </w:p>
    <w:p w14:paraId="59179AB5" w14:textId="150A82DE" w:rsidR="7BB1D354" w:rsidRDefault="452E4E4A" w:rsidP="006868A5">
      <w:pPr>
        <w:pStyle w:val="PR1"/>
        <w:numPr>
          <w:ilvl w:val="0"/>
          <w:numId w:val="23"/>
        </w:numPr>
      </w:pPr>
      <w:r>
        <w:rPr>
          <w:lang w:bidi="es-US"/>
        </w:rPr>
        <w:t>Componentes fabricados de conformidad con las normas IFT-008-2015 y NOM-208-SCFI-2016, cuando corresponda.</w:t>
      </w:r>
    </w:p>
    <w:p w14:paraId="5344FD7C" w14:textId="477B9CB1" w:rsidR="7BB1D354" w:rsidRDefault="452E4E4A" w:rsidP="006868A5">
      <w:pPr>
        <w:pStyle w:val="PR1"/>
        <w:numPr>
          <w:ilvl w:val="0"/>
          <w:numId w:val="23"/>
        </w:numPr>
      </w:pPr>
      <w:r>
        <w:rPr>
          <w:lang w:bidi="es-US"/>
        </w:rPr>
        <w:t xml:space="preserve">El sistema figurará en la lista de sistemas calificados en virtud de la Especificación del sistema de control de iluminación en red (v5.0 o superior) del </w:t>
      </w:r>
      <w:proofErr w:type="spellStart"/>
      <w:r>
        <w:rPr>
          <w:lang w:bidi="es-US"/>
        </w:rPr>
        <w:t>Design</w:t>
      </w:r>
      <w:proofErr w:type="spellEnd"/>
      <w:r>
        <w:rPr>
          <w:lang w:bidi="es-US"/>
        </w:rPr>
        <w:t xml:space="preserve"> </w:t>
      </w:r>
      <w:proofErr w:type="spellStart"/>
      <w:r>
        <w:rPr>
          <w:lang w:bidi="es-US"/>
        </w:rPr>
        <w:t>Lights</w:t>
      </w:r>
      <w:proofErr w:type="spellEnd"/>
      <w:r>
        <w:rPr>
          <w:lang w:bidi="es-US"/>
        </w:rPr>
        <w:t xml:space="preserve"> </w:t>
      </w:r>
      <w:proofErr w:type="spellStart"/>
      <w:r>
        <w:rPr>
          <w:lang w:bidi="es-US"/>
        </w:rPr>
        <w:t>Consortium</w:t>
      </w:r>
      <w:proofErr w:type="spellEnd"/>
      <w:r>
        <w:rPr>
          <w:lang w:bidi="es-US"/>
        </w:rPr>
        <w:t>.</w:t>
      </w:r>
    </w:p>
    <w:p w14:paraId="6BEA87C0" w14:textId="078975BB" w:rsidR="7BB1D354" w:rsidRDefault="3CF32996" w:rsidP="006868A5">
      <w:pPr>
        <w:pStyle w:val="PR1"/>
        <w:numPr>
          <w:ilvl w:val="0"/>
          <w:numId w:val="23"/>
        </w:numPr>
      </w:pPr>
      <w:r>
        <w:rPr>
          <w:lang w:bidi="es-US"/>
        </w:rPr>
        <w:t>Criterios de rendimiento:</w:t>
      </w:r>
    </w:p>
    <w:p w14:paraId="60D1972A" w14:textId="5B9E310A" w:rsidR="7BB1D354" w:rsidRDefault="006868A5" w:rsidP="006868A5">
      <w:pPr>
        <w:pStyle w:val="PR1"/>
        <w:numPr>
          <w:ilvl w:val="0"/>
          <w:numId w:val="23"/>
        </w:numPr>
      </w:pPr>
      <w:r>
        <w:rPr>
          <w:lang w:bidi="es-US"/>
        </w:rPr>
        <w:t>U</w:t>
      </w:r>
      <w:r w:rsidR="3CF32996">
        <w:rPr>
          <w:lang w:bidi="es-US"/>
        </w:rPr>
        <w:t>n laboratorio de pruebas eléctricas calificado y reconocido por las autoridades competentes cataloga y etiqueta el sistema de acuerdo con NFPA 70, además se marca la ubicación y aplicación previstas.</w:t>
      </w:r>
    </w:p>
    <w:p w14:paraId="42798AB3" w14:textId="3ACD486A" w:rsidR="00A36F3D" w:rsidRPr="00A36F3D" w:rsidRDefault="009A5F97" w:rsidP="005A6F5A">
      <w:pPr>
        <w:pStyle w:val="Heading2"/>
      </w:pPr>
      <w:r w:rsidRPr="005A6F5A">
        <w:rPr>
          <w:lang w:bidi="es-US"/>
        </w:rPr>
        <w:t>REQUISITOS DEL SISTEMA EN CUANTO A RENDIMIENTO</w:t>
      </w:r>
    </w:p>
    <w:p w14:paraId="183BD162" w14:textId="6AAA1322" w:rsidR="007F6D4A" w:rsidRDefault="3CF32996" w:rsidP="006868A5">
      <w:pPr>
        <w:pStyle w:val="PR1"/>
        <w:numPr>
          <w:ilvl w:val="0"/>
          <w:numId w:val="24"/>
        </w:numPr>
      </w:pPr>
      <w:r>
        <w:rPr>
          <w:lang w:bidi="es-US"/>
        </w:rPr>
        <w:t>Características del sistema</w:t>
      </w:r>
    </w:p>
    <w:p w14:paraId="411FA9BF" w14:textId="77777777" w:rsidR="006C19AC" w:rsidRDefault="440AFE8C" w:rsidP="00451662">
      <w:pPr>
        <w:pStyle w:val="PR2"/>
        <w:numPr>
          <w:ilvl w:val="0"/>
          <w:numId w:val="26"/>
        </w:numPr>
      </w:pPr>
      <w:r w:rsidRPr="009A5F97">
        <w:rPr>
          <w:lang w:bidi="es-US"/>
        </w:rPr>
        <w:t>El sistema se compone de los siguientes dispositivos de control digital interconectados:</w:t>
      </w:r>
    </w:p>
    <w:p w14:paraId="58A398A5" w14:textId="558A9915" w:rsidR="00CA2E20" w:rsidRPr="006C19AC" w:rsidRDefault="00CA2E20" w:rsidP="00451662">
      <w:pPr>
        <w:pStyle w:val="PR3"/>
      </w:pPr>
      <w:r w:rsidRPr="006C19AC">
        <w:rPr>
          <w:lang w:bidi="es-US"/>
        </w:rPr>
        <w:t>unidades de pared;</w:t>
      </w:r>
    </w:p>
    <w:p w14:paraId="1723EA6E" w14:textId="77777777" w:rsidR="00CA2E20" w:rsidRPr="006C19AC" w:rsidRDefault="00CA2E20" w:rsidP="00451662">
      <w:pPr>
        <w:pStyle w:val="PR3"/>
      </w:pPr>
      <w:r w:rsidRPr="006C19AC">
        <w:rPr>
          <w:lang w:bidi="es-US"/>
        </w:rPr>
        <w:t>sensores de techo de ocupación/desocupación;</w:t>
      </w:r>
    </w:p>
    <w:p w14:paraId="57E5346F" w14:textId="77777777" w:rsidR="00CA2E20" w:rsidRPr="006C19AC" w:rsidRDefault="00CA2E20" w:rsidP="00451662">
      <w:pPr>
        <w:pStyle w:val="PR3"/>
      </w:pPr>
      <w:r w:rsidRPr="006C19AC">
        <w:rPr>
          <w:lang w:bidi="es-US"/>
        </w:rPr>
        <w:t>paquete de interruptores de atenuación;</w:t>
      </w:r>
    </w:p>
    <w:p w14:paraId="0F196231" w14:textId="77777777" w:rsidR="00CA2E20" w:rsidRPr="006C19AC" w:rsidRDefault="00CA2E20" w:rsidP="00451662">
      <w:pPr>
        <w:pStyle w:val="PR3"/>
      </w:pPr>
      <w:r w:rsidRPr="006C19AC">
        <w:rPr>
          <w:lang w:bidi="es-US"/>
        </w:rPr>
        <w:t>paquete de interruptores de atenuación de emergencia;</w:t>
      </w:r>
    </w:p>
    <w:p w14:paraId="5BD89970" w14:textId="77777777" w:rsidR="00CA2E20" w:rsidRPr="006C19AC" w:rsidRDefault="00CA2E20" w:rsidP="00451662">
      <w:pPr>
        <w:pStyle w:val="PR3"/>
      </w:pPr>
      <w:r w:rsidRPr="006C19AC">
        <w:rPr>
          <w:lang w:bidi="es-US"/>
        </w:rPr>
        <w:t>entrada del cierre de contacto;</w:t>
      </w:r>
    </w:p>
    <w:p w14:paraId="1F833AE7" w14:textId="77777777" w:rsidR="00CA2E20" w:rsidRPr="006C19AC" w:rsidRDefault="00CA2E20" w:rsidP="00451662">
      <w:pPr>
        <w:pStyle w:val="PR3"/>
      </w:pPr>
      <w:r w:rsidRPr="006C19AC">
        <w:rPr>
          <w:lang w:bidi="es-US"/>
        </w:rPr>
        <w:t xml:space="preserve">módulo de interfaz del sensor; </w:t>
      </w:r>
    </w:p>
    <w:p w14:paraId="087761E6" w14:textId="77777777" w:rsidR="00CA2E20" w:rsidRPr="006C19AC" w:rsidRDefault="00CA2E20" w:rsidP="00451662">
      <w:pPr>
        <w:pStyle w:val="PR3"/>
      </w:pPr>
      <w:r w:rsidRPr="006C19AC">
        <w:rPr>
          <w:lang w:bidi="es-US"/>
        </w:rPr>
        <w:t>módulos de alimentación de bajo voltaje para alimentar luminarias de bajo voltaje;</w:t>
      </w:r>
    </w:p>
    <w:p w14:paraId="66F36DF3" w14:textId="77777777" w:rsidR="00CA2E20" w:rsidRPr="006C19AC" w:rsidRDefault="00CA2E20" w:rsidP="00451662">
      <w:pPr>
        <w:pStyle w:val="PR3"/>
      </w:pPr>
      <w:r w:rsidRPr="006C19AC">
        <w:rPr>
          <w:lang w:bidi="es-US"/>
        </w:rPr>
        <w:t>pantalla táctil;</w:t>
      </w:r>
    </w:p>
    <w:p w14:paraId="23CDE25D" w14:textId="77777777" w:rsidR="00CA2E20" w:rsidRPr="006C19AC" w:rsidRDefault="00CA2E20" w:rsidP="00451662">
      <w:pPr>
        <w:pStyle w:val="PR3"/>
      </w:pPr>
      <w:r w:rsidRPr="006C19AC">
        <w:rPr>
          <w:lang w:bidi="es-US"/>
        </w:rPr>
        <w:t>interfaz de programación por Bluetooth;</w:t>
      </w:r>
    </w:p>
    <w:p w14:paraId="2C71D085" w14:textId="77777777" w:rsidR="00CA2E20" w:rsidRDefault="00CA2E20" w:rsidP="00451662">
      <w:pPr>
        <w:pStyle w:val="PR3"/>
      </w:pPr>
      <w:r w:rsidRPr="006C19AC">
        <w:rPr>
          <w:lang w:bidi="es-US"/>
        </w:rPr>
        <w:t>controlador de área para espacios en red;</w:t>
      </w:r>
    </w:p>
    <w:p w14:paraId="019CFE8C" w14:textId="126D3554" w:rsidR="00C15A7D" w:rsidRPr="006C19AC" w:rsidRDefault="00C15A7D" w:rsidP="00451662">
      <w:pPr>
        <w:pStyle w:val="PR3"/>
      </w:pPr>
      <w:r w:rsidRPr="00C15A7D">
        <w:t>Controlador de área exterior</w:t>
      </w:r>
      <w:r>
        <w:t>;</w:t>
      </w:r>
    </w:p>
    <w:p w14:paraId="255943C7" w14:textId="77777777" w:rsidR="00CA2E20" w:rsidRPr="006C19AC" w:rsidRDefault="00CA2E20" w:rsidP="00451662">
      <w:pPr>
        <w:pStyle w:val="PR3"/>
      </w:pPr>
      <w:r w:rsidRPr="006C19AC">
        <w:rPr>
          <w:lang w:bidi="es-US"/>
        </w:rPr>
        <w:t>concentrador de área para conectar en red varias áreas de control a un controlador de área;</w:t>
      </w:r>
    </w:p>
    <w:p w14:paraId="6C89EB61" w14:textId="77777777" w:rsidR="00CA2E20" w:rsidRPr="006C19AC" w:rsidRDefault="00CA2E20" w:rsidP="00451662">
      <w:pPr>
        <w:pStyle w:val="PR3"/>
      </w:pPr>
      <w:r w:rsidRPr="006C19AC">
        <w:rPr>
          <w:lang w:bidi="es-US"/>
        </w:rPr>
        <w:t>panel de relés en red conectado en red por IP;</w:t>
      </w:r>
    </w:p>
    <w:p w14:paraId="0217CA06" w14:textId="77777777" w:rsidR="00CA2E20" w:rsidRPr="006C19AC" w:rsidRDefault="00CA2E20" w:rsidP="00451662">
      <w:pPr>
        <w:pStyle w:val="PR3"/>
      </w:pPr>
      <w:r w:rsidRPr="006C19AC">
        <w:rPr>
          <w:lang w:bidi="es-US"/>
        </w:rPr>
        <w:t>servidor de supervisión;</w:t>
      </w:r>
    </w:p>
    <w:p w14:paraId="65ADFD4D" w14:textId="77777777" w:rsidR="00CA2E20" w:rsidRPr="006C19AC" w:rsidRDefault="00CA2E20" w:rsidP="00451662">
      <w:pPr>
        <w:pStyle w:val="PR3"/>
      </w:pPr>
      <w:r w:rsidRPr="006C19AC">
        <w:rPr>
          <w:lang w:bidi="es-US"/>
        </w:rPr>
        <w:t>aplicaciones de software de gestión de la iluminación;</w:t>
      </w:r>
    </w:p>
    <w:p w14:paraId="5EDB6ADC" w14:textId="77777777" w:rsidR="00CA2E20" w:rsidRPr="006868A5" w:rsidRDefault="00CA2E20" w:rsidP="00451662">
      <w:pPr>
        <w:pStyle w:val="PR3"/>
        <w:rPr>
          <w:lang w:val="pt-BR"/>
        </w:rPr>
      </w:pPr>
      <w:proofErr w:type="spellStart"/>
      <w:r w:rsidRPr="006868A5">
        <w:rPr>
          <w:lang w:val="pt-BR" w:bidi="es-US"/>
        </w:rPr>
        <w:t>BACnet</w:t>
      </w:r>
      <w:proofErr w:type="spellEnd"/>
      <w:r w:rsidRPr="006868A5">
        <w:rPr>
          <w:lang w:val="pt-BR" w:bidi="es-US"/>
        </w:rPr>
        <w:t xml:space="preserve">/IP, API, </w:t>
      </w:r>
      <w:proofErr w:type="spellStart"/>
      <w:r w:rsidRPr="006868A5">
        <w:rPr>
          <w:lang w:val="pt-BR" w:bidi="es-US"/>
        </w:rPr>
        <w:t>OpenADR</w:t>
      </w:r>
      <w:proofErr w:type="spellEnd"/>
      <w:r w:rsidRPr="006868A5">
        <w:rPr>
          <w:lang w:val="pt-BR" w:bidi="es-US"/>
        </w:rPr>
        <w:t xml:space="preserve"> e interfaces de tonos.</w:t>
      </w:r>
    </w:p>
    <w:p w14:paraId="1320746D" w14:textId="572EF9B9" w:rsidR="00B01304" w:rsidRPr="009A5F97" w:rsidRDefault="1FDCD240" w:rsidP="00451662">
      <w:pPr>
        <w:pStyle w:val="PR2"/>
      </w:pPr>
      <w:r w:rsidRPr="009A5F97">
        <w:rPr>
          <w:lang w:bidi="es-US"/>
        </w:rPr>
        <w:t>El sistema deberá ser compatible con las siguientes topologías:</w:t>
      </w:r>
    </w:p>
    <w:p w14:paraId="5F1F2C06" w14:textId="6A9318C5" w:rsidR="00B01304" w:rsidRDefault="7394CCC3" w:rsidP="00451662">
      <w:pPr>
        <w:pStyle w:val="PR3"/>
        <w:numPr>
          <w:ilvl w:val="4"/>
          <w:numId w:val="30"/>
        </w:numPr>
      </w:pPr>
      <w:r>
        <w:rPr>
          <w:lang w:bidi="es-US"/>
        </w:rPr>
        <w:lastRenderedPageBreak/>
        <w:t>Dispositivos de control digitales interconectados para controlar las luces de una habitación independiente o de un espacio con una o varias zonas.</w:t>
      </w:r>
    </w:p>
    <w:p w14:paraId="01E92D54" w14:textId="6A09D3F5" w:rsidR="00B01304" w:rsidRDefault="551F1AD2" w:rsidP="00451662">
      <w:pPr>
        <w:pStyle w:val="PR3"/>
      </w:pPr>
      <w:r>
        <w:rPr>
          <w:lang w:bidi="es-US"/>
        </w:rPr>
        <w:t>Dispositivos de control digitales interconectados, concentradores de área y controladores de área para controlar las luces de habitaciones o espacios conectados en red con una o varias zonas por habitación.</w:t>
      </w:r>
    </w:p>
    <w:p w14:paraId="0D9DB8F5" w14:textId="5FCAFA7E" w:rsidR="00323FE4" w:rsidRDefault="1AC54A6E" w:rsidP="00451662">
      <w:pPr>
        <w:pStyle w:val="PR3"/>
      </w:pPr>
      <w:r>
        <w:rPr>
          <w:lang w:bidi="es-US"/>
        </w:rPr>
        <w:t>Control de iluminación híbrido con dispositivos de integración</w:t>
      </w:r>
      <w:r w:rsidR="00350142">
        <w:rPr>
          <w:lang w:bidi="es-US"/>
        </w:rPr>
        <w:t>,</w:t>
      </w:r>
      <w:r>
        <w:rPr>
          <w:lang w:bidi="es-US"/>
        </w:rPr>
        <w:t xml:space="preserve"> como concentradores de área y controladores de área</w:t>
      </w:r>
      <w:r w:rsidR="00350142">
        <w:rPr>
          <w:lang w:bidi="es-US"/>
        </w:rPr>
        <w:t>,</w:t>
      </w:r>
      <w:r>
        <w:rPr>
          <w:lang w:bidi="es-US"/>
        </w:rPr>
        <w:t xml:space="preserve"> para controlar a la perfección luces inalámbricas, incluidas luminarias conectadas. El sistema inalámbrico también debe poder controlar el sistema por cable.</w:t>
      </w:r>
    </w:p>
    <w:p w14:paraId="37D1EC9A" w14:textId="671FE6A9" w:rsidR="00E26456" w:rsidRDefault="00736D41" w:rsidP="00451662">
      <w:pPr>
        <w:pStyle w:val="PR3"/>
      </w:pPr>
      <w:r>
        <w:rPr>
          <w:lang w:bidi="es-US"/>
        </w:rPr>
        <w:t>Los paneles de relés y los productos inalámbricos o que utilizan cables CAT (incluidas las luminarias con controladores inalámbricos integrados) deben poder controlarse a través de la misma aplicación (móvil o basada en la web) o de dispositivos de control (como unidades de pared, sensores de ocupación, etc.).</w:t>
      </w:r>
    </w:p>
    <w:p w14:paraId="52A6DD87" w14:textId="7CEE618D" w:rsidR="00323FE4" w:rsidRDefault="09695844" w:rsidP="00451662">
      <w:pPr>
        <w:pStyle w:val="PR2"/>
      </w:pPr>
      <w:r>
        <w:rPr>
          <w:lang w:bidi="es-US"/>
        </w:rPr>
        <w:t>En una topología de habitación o espacio único, el sistema de control de iluminación proporcionará las siguientes capacidades:</w:t>
      </w:r>
    </w:p>
    <w:p w14:paraId="17F8E9D7" w14:textId="654AD577" w:rsidR="00323FE4" w:rsidRDefault="604D160C" w:rsidP="00451662">
      <w:pPr>
        <w:pStyle w:val="PR3"/>
        <w:numPr>
          <w:ilvl w:val="4"/>
          <w:numId w:val="25"/>
        </w:numPr>
      </w:pPr>
      <w:r>
        <w:rPr>
          <w:lang w:bidi="es-US"/>
        </w:rPr>
        <w:t>Comunicación por cable: los dispositivos deberán poder intercambiar datos entre sí mediante cableado de red de bajo voltaje.</w:t>
      </w:r>
    </w:p>
    <w:p w14:paraId="6C2A234B" w14:textId="7A2D8D32" w:rsidR="00323FE4" w:rsidRDefault="23E1EA57" w:rsidP="00451662">
      <w:pPr>
        <w:pStyle w:val="PR3"/>
      </w:pPr>
      <w:r>
        <w:rPr>
          <w:lang w:bidi="es-US"/>
        </w:rPr>
        <w:t>Detección de ocupación: la capacidad de encender y apagar automáticamente las luces al detectar la presencia o ausencia de personas en un espacio interior o exterior.</w:t>
      </w:r>
    </w:p>
    <w:p w14:paraId="59A151D8" w14:textId="20654D88" w:rsidR="00323FE4" w:rsidRDefault="5FD6A800" w:rsidP="00451662">
      <w:pPr>
        <w:pStyle w:val="PR3"/>
      </w:pPr>
      <w:r>
        <w:rPr>
          <w:lang w:bidi="es-US"/>
        </w:rPr>
        <w:t>Aprovechamiento de la luz diurna: la capacidad de influir automáticamente en el funcionamiento de las luminarias según la cantidad de luz diurna presente en el espacio.</w:t>
      </w:r>
    </w:p>
    <w:p w14:paraId="6C20DA69" w14:textId="3A7BD266" w:rsidR="00323FE4" w:rsidRDefault="3DA4752E" w:rsidP="00451662">
      <w:pPr>
        <w:pStyle w:val="PR3"/>
      </w:pPr>
      <w:r>
        <w:rPr>
          <w:lang w:bidi="es-US"/>
        </w:rPr>
        <w:t>Zonificación: la capacidad de agrupar luminarias para formar zonas de control de iluminación únicas para una estrategia de control mediante software o detalles de la instalación eléctrica (por ejemplo, cableado).</w:t>
      </w:r>
    </w:p>
    <w:p w14:paraId="181AECB9" w14:textId="3D57A188" w:rsidR="0009616A" w:rsidRDefault="74D73C55" w:rsidP="00451662">
      <w:pPr>
        <w:pStyle w:val="PR3"/>
      </w:pPr>
      <w:r>
        <w:rPr>
          <w:lang w:bidi="es-US"/>
        </w:rPr>
        <w:t xml:space="preserve">Ajuste de gama alta: la capacidad de ajustar la potencia de la luz máxima a un estado inferior al máximo de una luminaria o un grupo de luminarias o lámparas mediante la aplicación de software. </w:t>
      </w:r>
    </w:p>
    <w:p w14:paraId="40748E0D" w14:textId="4039822F" w:rsidR="00DD6454" w:rsidRPr="003028B4" w:rsidRDefault="2D9F3646" w:rsidP="00451662">
      <w:pPr>
        <w:pStyle w:val="PR3"/>
      </w:pPr>
      <w:r>
        <w:rPr>
          <w:lang w:bidi="es-US"/>
        </w:rPr>
        <w:t>Capacidad de direccionamiento individual: la capacidad de identificar y direccionar de forma exclusiva cada dispositivo de control, lo que permite configurar y reconfigurar los dispositivos y las zonas de control independientemente de los circuitos eléctricos.</w:t>
      </w:r>
    </w:p>
    <w:p w14:paraId="128A6922" w14:textId="32736925" w:rsidR="002A781A" w:rsidRDefault="2865D4ED" w:rsidP="00451662">
      <w:pPr>
        <w:pStyle w:val="PR3"/>
      </w:pPr>
      <w:r>
        <w:rPr>
          <w:lang w:bidi="es-US"/>
        </w:rPr>
        <w:t xml:space="preserve">Atenuación continua: la capacidad de ofrecer cambios fluidos en el nivel de luz mediante una alta resolución en el control de la potencia de la luz. </w:t>
      </w:r>
    </w:p>
    <w:p w14:paraId="2D1C2E45" w14:textId="03DCB3B2" w:rsidR="00160CDB" w:rsidRDefault="7017E7DE" w:rsidP="00451662">
      <w:pPr>
        <w:pStyle w:val="PR3"/>
      </w:pPr>
      <w:r>
        <w:rPr>
          <w:lang w:bidi="es-US"/>
        </w:rPr>
        <w:t xml:space="preserve">Control personal: posibilidad de que cada usuario ajuste las luces según sus preferencias personales mediante una interfaz de control. </w:t>
      </w:r>
    </w:p>
    <w:p w14:paraId="5F57ED37" w14:textId="77777777" w:rsidR="0057047E" w:rsidRDefault="750A1C1C" w:rsidP="00451662">
      <w:pPr>
        <w:pStyle w:val="PR3"/>
      </w:pPr>
      <w:r>
        <w:rPr>
          <w:lang w:bidi="es-US"/>
        </w:rPr>
        <w:t xml:space="preserve">Control de escenas: la capacidad de proporcionar dos o más configuraciones preprogramadas del nivel de luz para un grupo o varios grupos de luminarias. </w:t>
      </w:r>
    </w:p>
    <w:p w14:paraId="73FB2E76" w14:textId="6A5D2F8B" w:rsidR="01EAA0A6" w:rsidRDefault="34B3EC46" w:rsidP="00451662">
      <w:pPr>
        <w:pStyle w:val="PR3"/>
      </w:pPr>
      <w:r>
        <w:rPr>
          <w:lang w:bidi="es-US"/>
        </w:rPr>
        <w:t>Control de zona: la capacidad de controlar una zona basándose en la última zona afectada o la última escena activa que fue controlada por un dispositivo de control como una unidad de pared.</w:t>
      </w:r>
    </w:p>
    <w:p w14:paraId="514F87D3" w14:textId="141EA594" w:rsidR="00725A4A" w:rsidRDefault="326AC382" w:rsidP="00451662">
      <w:pPr>
        <w:pStyle w:val="PR3"/>
      </w:pPr>
      <w:r>
        <w:rPr>
          <w:lang w:bidi="es-US"/>
        </w:rPr>
        <w:t xml:space="preserve">Control de carga de enchufes: la capacidad de controlar la potencia suministrada a los receptáculos mediante programación o detección de ocupación. </w:t>
      </w:r>
    </w:p>
    <w:p w14:paraId="66DB2F35" w14:textId="4B1B1820" w:rsidR="0057047E" w:rsidRDefault="750A1C1C" w:rsidP="00451662">
      <w:pPr>
        <w:pStyle w:val="PR3"/>
      </w:pPr>
      <w:r>
        <w:rPr>
          <w:lang w:bidi="es-US"/>
        </w:rPr>
        <w:t>Iluminación de emergencia: la capacidad de disponer de una iluminación de emergencia que se encienda por completo en caso de pérdida de la alimentación normal.</w:t>
      </w:r>
    </w:p>
    <w:p w14:paraId="34A8C849" w14:textId="54A4316D" w:rsidR="00184542" w:rsidRDefault="2858066E" w:rsidP="00451662">
      <w:pPr>
        <w:pStyle w:val="PR3"/>
      </w:pPr>
      <w:r>
        <w:rPr>
          <w:lang w:bidi="es-US"/>
        </w:rPr>
        <w:t xml:space="preserve">Programación: la capacidad de permitir que los instaladores y propietarios del sistema configuren el sistema para que se ajuste a sus especificaciones mediante una aplicación que se ejecuta en un dispositivo móvil. </w:t>
      </w:r>
    </w:p>
    <w:p w14:paraId="3F7694F6" w14:textId="4FEAA19D" w:rsidR="003F00C2" w:rsidRDefault="6D565DEE" w:rsidP="00451662">
      <w:pPr>
        <w:pStyle w:val="PR3"/>
      </w:pPr>
      <w:r>
        <w:rPr>
          <w:lang w:bidi="es-US"/>
        </w:rPr>
        <w:t>Los dispositivos del sistema admiten actualizaciones de firmware desde una aplicación móvil o un controlador.</w:t>
      </w:r>
    </w:p>
    <w:p w14:paraId="3794CE6B" w14:textId="56F2E43F" w:rsidR="003F10B1" w:rsidRDefault="03E68EF3" w:rsidP="00451662">
      <w:pPr>
        <w:pStyle w:val="PR3"/>
      </w:pPr>
      <w:r>
        <w:rPr>
          <w:lang w:bidi="es-US"/>
        </w:rPr>
        <w:t xml:space="preserve">Control listo para usar: en los espacios controlados por dispositivos de control con cable o espacios conectados de forma inalámbrica, las luces deberán poder alcanzar un nivel de luz del 50% una vez encendidas y encenderse o apagarse </w:t>
      </w:r>
      <w:r>
        <w:rPr>
          <w:lang w:bidi="es-US"/>
        </w:rPr>
        <w:lastRenderedPageBreak/>
        <w:t xml:space="preserve">automáticamente en función del estado de ocupación sin necesidad de programación. </w:t>
      </w:r>
    </w:p>
    <w:p w14:paraId="58954939" w14:textId="3520AD23" w:rsidR="00416F36" w:rsidRDefault="4C6744FA" w:rsidP="00451662">
      <w:pPr>
        <w:pStyle w:val="PR3"/>
      </w:pPr>
      <w:r>
        <w:rPr>
          <w:lang w:bidi="es-US"/>
        </w:rPr>
        <w:t>Control de zonas listo para usar: la posibilidad de pedir al fabricante varios dispositivos de control digital, como unidades de pared y paquetes de interruptores de atenuación, preconfigurados con un número de zona, lo que permite un control de zonas listo para usar del espacio sin necesidad de programación.</w:t>
      </w:r>
    </w:p>
    <w:p w14:paraId="299D8D23" w14:textId="5907BDA5" w:rsidR="00144868" w:rsidRPr="008C22CD" w:rsidRDefault="055B4BE0" w:rsidP="00451662">
      <w:pPr>
        <w:pStyle w:val="PR3"/>
      </w:pPr>
      <w:r>
        <w:rPr>
          <w:lang w:bidi="es-US"/>
        </w:rPr>
        <w:t>Control autónomo: la capacidad de los dispositivos digitales de control de iluminación dentro del mismo espacio para proporcionar un control automático a partir de sensores (de ocupación o fotosensores) sin necesidad de realizar una conexión a un componente del sistema de nivel superior.</w:t>
      </w:r>
    </w:p>
    <w:p w14:paraId="7F49CC1A" w14:textId="36BF4CAC" w:rsidR="00D444C7" w:rsidRDefault="2C6240B7" w:rsidP="00451662">
      <w:pPr>
        <w:pStyle w:val="PR3"/>
      </w:pPr>
      <w:r>
        <w:rPr>
          <w:lang w:bidi="es-US"/>
        </w:rPr>
        <w:t>Entradas de cierre de contacto: la capacidad del sistema cableado de reaccionar a la entrada de una alarma, respuesta de demanda, interruptor de llave/maestro, reloj de tiempo sin requerir conexión a un componente de sistema de nivel superior.</w:t>
      </w:r>
    </w:p>
    <w:p w14:paraId="32F6C4AB" w14:textId="4D1FDC28" w:rsidR="00D444C7" w:rsidRDefault="6B7FE17C" w:rsidP="00451662">
      <w:pPr>
        <w:pStyle w:val="PR2"/>
      </w:pPr>
      <w:r>
        <w:rPr>
          <w:lang w:bidi="es-US"/>
        </w:rPr>
        <w:t>En una topología de salas/espacios en red, el sistema proporcionará las siguientes capacidades, además de las disponibles en una aplicación de sala/espacio individual:</w:t>
      </w:r>
    </w:p>
    <w:p w14:paraId="01EAD1A0" w14:textId="448CA637" w:rsidR="00916B58" w:rsidRPr="003028B4" w:rsidRDefault="3C5B92CE" w:rsidP="00451662">
      <w:pPr>
        <w:pStyle w:val="PR3"/>
        <w:numPr>
          <w:ilvl w:val="4"/>
          <w:numId w:val="27"/>
        </w:numPr>
      </w:pPr>
      <w:r>
        <w:rPr>
          <w:lang w:bidi="es-US"/>
        </w:rPr>
        <w:t>Programación de 7 días/astronómica: la capacidad de influir automáticamente en el funcionamiento de los equipos de iluminación en función de la hora del día. El sistema ofrecerá funciones de programación horaria y programación “astronómica” para la programación de la salida y la puesta del sol en función de la ubicación geográfica y de la época del año.</w:t>
      </w:r>
    </w:p>
    <w:p w14:paraId="7574594A" w14:textId="78AB508E" w:rsidR="00916B58" w:rsidRDefault="3C5B92CE" w:rsidP="00451662">
      <w:pPr>
        <w:pStyle w:val="PR3"/>
      </w:pPr>
      <w:r>
        <w:rPr>
          <w:lang w:bidi="es-US"/>
        </w:rPr>
        <w:t xml:space="preserve">Respuesta a la demanda (caída de la carga): la capacidad de reducir temporalmente el consumo de energía de un sistema de iluminación, de forma predefinida, como reacción ante una señal de respuesta a la demanda sin intervención manual. </w:t>
      </w:r>
    </w:p>
    <w:p w14:paraId="1BE9232D" w14:textId="6938B983" w:rsidR="005E315E" w:rsidRPr="003028B4" w:rsidRDefault="6859D6DF" w:rsidP="00451662">
      <w:pPr>
        <w:pStyle w:val="PR3"/>
      </w:pPr>
      <w:proofErr w:type="spellStart"/>
      <w:r>
        <w:rPr>
          <w:lang w:bidi="es-US"/>
        </w:rPr>
        <w:t>OpenADR</w:t>
      </w:r>
      <w:proofErr w:type="spellEnd"/>
      <w:r>
        <w:rPr>
          <w:lang w:bidi="es-US"/>
        </w:rPr>
        <w:t xml:space="preserve">: la capacidad para recibir órdenes de respuesta a la demanda de una empresa de servicios públicos mediante el estándar </w:t>
      </w:r>
      <w:proofErr w:type="spellStart"/>
      <w:r>
        <w:rPr>
          <w:lang w:bidi="es-US"/>
        </w:rPr>
        <w:t>OpenADR</w:t>
      </w:r>
      <w:proofErr w:type="spellEnd"/>
      <w:r>
        <w:rPr>
          <w:lang w:bidi="es-US"/>
        </w:rPr>
        <w:t xml:space="preserve">. </w:t>
      </w:r>
    </w:p>
    <w:p w14:paraId="52E10A0E" w14:textId="02140739" w:rsidR="007769D7" w:rsidRPr="003028B4" w:rsidRDefault="3D291D14" w:rsidP="00451662">
      <w:pPr>
        <w:pStyle w:val="PR3"/>
      </w:pPr>
      <w:r>
        <w:rPr>
          <w:lang w:bidi="es-US"/>
        </w:rPr>
        <w:t xml:space="preserve">Plan de piso: la capacidad de gestionar el sistema de iluminación a través de un plan de piso, es decir, modificar la luz de una sola luminaria o de un grupo de luminarias desde el plan de piso y ver el estado de una luminaria o de un grupo de luminarias. </w:t>
      </w:r>
    </w:p>
    <w:p w14:paraId="55D186C6" w14:textId="02432E23" w:rsidR="007769D7" w:rsidRPr="003028B4" w:rsidRDefault="3D291D14" w:rsidP="00451662">
      <w:pPr>
        <w:pStyle w:val="PR3"/>
      </w:pPr>
      <w:r>
        <w:rPr>
          <w:lang w:bidi="es-US"/>
        </w:rPr>
        <w:t xml:space="preserve">Programación: la capacidad de programar y gestionar todos los espacios desde una aplicación móvil que se ejecuta en un dispositivo móvil y un navegador web que accede a un dispositivo informático. El servidor de supervisión, el controlador de área y el concentrador de área prestan servicio a las páginas web. </w:t>
      </w:r>
    </w:p>
    <w:p w14:paraId="49AF5CA9" w14:textId="436831F4" w:rsidR="00916B58" w:rsidRDefault="3C5B92CE" w:rsidP="00451662">
      <w:pPr>
        <w:pStyle w:val="PR3"/>
      </w:pPr>
      <w:r>
        <w:rPr>
          <w:lang w:bidi="es-US"/>
        </w:rPr>
        <w:t xml:space="preserve">Informes energéticos: la capacidad de informar sobre el consumo energético (calculado o medido) de una luminaria o de un grupo de luminarias conectadas durante un máximo de 13 meses. </w:t>
      </w:r>
    </w:p>
    <w:p w14:paraId="3905F5BC" w14:textId="566B9037" w:rsidR="00916B58" w:rsidRDefault="3C5B92CE" w:rsidP="00451662">
      <w:pPr>
        <w:pStyle w:val="PR3"/>
      </w:pPr>
      <w:r>
        <w:rPr>
          <w:lang w:bidi="es-US"/>
        </w:rPr>
        <w:t>Informes de ocupación: la capacidad de informar sobre el uso de las áreas durante un máximo de 13 meses.</w:t>
      </w:r>
    </w:p>
    <w:p w14:paraId="0FE03A25" w14:textId="1DA8D78F" w:rsidR="00916B58" w:rsidRDefault="3C5B92CE" w:rsidP="00451662">
      <w:pPr>
        <w:pStyle w:val="PR3"/>
      </w:pPr>
      <w:r>
        <w:rPr>
          <w:lang w:bidi="es-US"/>
        </w:rPr>
        <w:t xml:space="preserve">Integración con sistemas de terceros mediante </w:t>
      </w:r>
      <w:proofErr w:type="spellStart"/>
      <w:r>
        <w:rPr>
          <w:lang w:bidi="es-US"/>
        </w:rPr>
        <w:t>BACnet</w:t>
      </w:r>
      <w:proofErr w:type="spellEnd"/>
      <w:r>
        <w:rPr>
          <w:lang w:bidi="es-US"/>
        </w:rPr>
        <w:t>/IP y API pública (REST).</w:t>
      </w:r>
    </w:p>
    <w:p w14:paraId="55AB41B7" w14:textId="448C6691" w:rsidR="00290DDB" w:rsidRPr="003028B4" w:rsidRDefault="5708F7D0" w:rsidP="00451662">
      <w:pPr>
        <w:pStyle w:val="PR3"/>
      </w:pPr>
      <w:r>
        <w:rPr>
          <w:lang w:bidi="es-US"/>
        </w:rPr>
        <w:t>Actualización del firmware: la capacidad para actualizar el firmware de varios controladores de área.</w:t>
      </w:r>
    </w:p>
    <w:p w14:paraId="3E6B9781" w14:textId="338535C3" w:rsidR="003F035A" w:rsidRDefault="3C5B92CE" w:rsidP="00451662">
      <w:pPr>
        <w:pStyle w:val="PR3"/>
      </w:pPr>
      <w:r>
        <w:rPr>
          <w:lang w:bidi="es-US"/>
        </w:rPr>
        <w:t>Supervisión del estado del sistema: la capacidad de supervisar, diagnosticar y notificar sobre el rendimiento operativo, incluidas las fallas del sistema o de los componentes.</w:t>
      </w:r>
    </w:p>
    <w:p w14:paraId="4D726175" w14:textId="7DA18772" w:rsidR="00F107DE" w:rsidRPr="00DE5BD8" w:rsidRDefault="004C75DB" w:rsidP="00451662">
      <w:pPr>
        <w:pStyle w:val="PR3"/>
      </w:pPr>
      <w:r>
        <w:rPr>
          <w:lang w:bidi="es-US"/>
        </w:rPr>
        <w:t>Posibilidad de realizar cambios centrales a través de un controlador de área local cuando hay varios controladores de área en una ubicación conectada a un concentrador central (CORE).</w:t>
      </w:r>
    </w:p>
    <w:p w14:paraId="571A4BA1" w14:textId="64DFC945" w:rsidR="003F035A" w:rsidRPr="00DE5BD8" w:rsidRDefault="053CCEEE" w:rsidP="006868A5">
      <w:pPr>
        <w:pStyle w:val="PR1"/>
        <w:numPr>
          <w:ilvl w:val="0"/>
          <w:numId w:val="24"/>
        </w:numPr>
      </w:pPr>
      <w:r>
        <w:rPr>
          <w:lang w:bidi="es-US"/>
        </w:rPr>
        <w:t>Características del sistema de control por cable</w:t>
      </w:r>
    </w:p>
    <w:p w14:paraId="6801E866" w14:textId="0121A78D" w:rsidR="003F035A" w:rsidRPr="00DE5BD8" w:rsidRDefault="05FA5139" w:rsidP="00451662">
      <w:pPr>
        <w:pStyle w:val="PR2"/>
        <w:numPr>
          <w:ilvl w:val="0"/>
          <w:numId w:val="28"/>
        </w:numPr>
      </w:pPr>
      <w:r>
        <w:rPr>
          <w:lang w:bidi="es-US"/>
        </w:rPr>
        <w:t>Los dispositivos cableados se conectarán en una topología de “cadena margarita”. La topología “</w:t>
      </w:r>
      <w:proofErr w:type="spellStart"/>
      <w:r>
        <w:rPr>
          <w:lang w:bidi="es-US"/>
        </w:rPr>
        <w:t>hub</w:t>
      </w:r>
      <w:proofErr w:type="spellEnd"/>
      <w:r>
        <w:rPr>
          <w:lang w:bidi="es-US"/>
        </w:rPr>
        <w:t>-and-</w:t>
      </w:r>
      <w:proofErr w:type="spellStart"/>
      <w:r>
        <w:rPr>
          <w:lang w:bidi="es-US"/>
        </w:rPr>
        <w:t>spoke</w:t>
      </w:r>
      <w:proofErr w:type="spellEnd"/>
      <w:r>
        <w:rPr>
          <w:lang w:bidi="es-US"/>
        </w:rPr>
        <w:t>”, que requiere que todos los dispositivos individuales conectados en red estén conectados a un componente central, es inaceptable para reducir el cable de red total necesario para cada zona de control.</w:t>
      </w:r>
    </w:p>
    <w:p w14:paraId="7BF4844F" w14:textId="55F4D156" w:rsidR="003F035A" w:rsidRPr="00DE5BD8" w:rsidRDefault="4DAE1ADF" w:rsidP="00451662">
      <w:pPr>
        <w:pStyle w:val="PR2"/>
      </w:pPr>
      <w:r>
        <w:rPr>
          <w:lang w:bidi="es-US"/>
        </w:rPr>
        <w:lastRenderedPageBreak/>
        <w:t xml:space="preserve">Las conexiones a los dispositivos dentro de un área de control cableada se realizarán con un único tipo de cable de red de bajo voltaje que cumpla las especificaciones CAT5 o superiores. </w:t>
      </w:r>
    </w:p>
    <w:p w14:paraId="64809C29" w14:textId="4DF841C2" w:rsidR="003F035A" w:rsidRPr="00DE5BD8" w:rsidRDefault="3382E2C2" w:rsidP="00451662">
      <w:pPr>
        <w:pStyle w:val="PR2"/>
      </w:pPr>
      <w:r>
        <w:rPr>
          <w:lang w:bidi="es-US"/>
        </w:rPr>
        <w:t xml:space="preserve">El fabricante debe ofrecer cableado de red de clasificación </w:t>
      </w:r>
      <w:proofErr w:type="spellStart"/>
      <w:r>
        <w:rPr>
          <w:lang w:bidi="es-US"/>
        </w:rPr>
        <w:t>plenum</w:t>
      </w:r>
      <w:proofErr w:type="spellEnd"/>
      <w:r>
        <w:rPr>
          <w:lang w:bidi="es-US"/>
        </w:rPr>
        <w:t xml:space="preserve"> CAT5 (o superior) previamente terminado.</w:t>
      </w:r>
    </w:p>
    <w:p w14:paraId="22EE2C5B" w14:textId="1439210D" w:rsidR="003F035A" w:rsidRPr="00DE5BD8" w:rsidRDefault="3504B541" w:rsidP="00451662">
      <w:pPr>
        <w:pStyle w:val="PR2"/>
      </w:pPr>
      <w:r>
        <w:rPr>
          <w:lang w:bidi="es-US"/>
        </w:rPr>
        <w:t>Los dispositivos conectados a los mismos cables CAT5 (o superiores) deberán ser capaces de detectarse automáticamente entre sí una vez que reciban alimentación, sin necesidad de proporcionar direcciones del sistema o de la zona.</w:t>
      </w:r>
    </w:p>
    <w:p w14:paraId="58CDE875" w14:textId="7C4ED7B4" w:rsidR="003F035A" w:rsidRPr="00DE5BD8" w:rsidRDefault="7060CCCA" w:rsidP="00451662">
      <w:pPr>
        <w:pStyle w:val="PR2"/>
      </w:pPr>
      <w:r>
        <w:rPr>
          <w:lang w:bidi="es-US"/>
        </w:rPr>
        <w:t>Tras una correcta instalación y suministro de energía, todos los dispositivos conectados en red con cables de red de bajo voltaje deben formar automáticamente una zona de control de iluminación funcional sin necesidad de programación. La función “listo para usar” consiste en que los sensores se agrupan automáticamente en un único conjunto de ocupación y apagan las luces del espacio cuando este queda desocupado. El usuario también puede controlar las luces desde cualquier interfaz de control del espacio. Esta función pretende ofrecer un control mínimo antes de la puesta en marcha y programación del sistema.</w:t>
      </w:r>
    </w:p>
    <w:p w14:paraId="5CCD4C57" w14:textId="5789211E" w:rsidR="003F035A" w:rsidRPr="00DE5BD8" w:rsidRDefault="1CF5EC9F" w:rsidP="00451662">
      <w:pPr>
        <w:pStyle w:val="PR2"/>
      </w:pPr>
      <w:r>
        <w:rPr>
          <w:lang w:bidi="es-US"/>
        </w:rPr>
        <w:t>Los dispositivos detectarán el cableado de comunicación incorrecto y ofrecerán notificaciones LED para alertar al personal de instalación o de puesta en marcha.</w:t>
      </w:r>
    </w:p>
    <w:p w14:paraId="7D7C804A" w14:textId="5ACE836C" w:rsidR="003F035A" w:rsidRPr="00DE5BD8" w:rsidRDefault="2D20877A" w:rsidP="00451662">
      <w:pPr>
        <w:pStyle w:val="PR2"/>
      </w:pPr>
      <w:r>
        <w:rPr>
          <w:lang w:bidi="es-US"/>
        </w:rPr>
        <w:t>Los dispositivos de control por cable tendrán un botón de identificación que, al pulsarlo, hará que el dispositivo aparezca en la aplicación de software con un ícono parpadeante.</w:t>
      </w:r>
    </w:p>
    <w:p w14:paraId="1E582519" w14:textId="3E786AB7" w:rsidR="003F035A" w:rsidRPr="00DE5BD8" w:rsidRDefault="499B934A" w:rsidP="00451662">
      <w:pPr>
        <w:pStyle w:val="PR2"/>
      </w:pPr>
      <w:r>
        <w:rPr>
          <w:lang w:bidi="es-US"/>
        </w:rPr>
        <w:t>Los dispositivos de control adecuados para el control de las fuentes luminosas de salida o de emergencia deberán poder detectar la pérdida de alimentación normal sin dispositivos adicionales de derivación UL 924 montados externamente o de desconexión de 0-10 V(</w:t>
      </w:r>
      <w:proofErr w:type="spellStart"/>
      <w:r>
        <w:rPr>
          <w:lang w:bidi="es-US"/>
        </w:rPr>
        <w:t>cc</w:t>
      </w:r>
      <w:proofErr w:type="spellEnd"/>
      <w:r>
        <w:rPr>
          <w:lang w:bidi="es-US"/>
        </w:rPr>
        <w:t>). Estos dispositivos deberán ser capaces de soportar la siguiente secuencia de funcionamiento:</w:t>
      </w:r>
    </w:p>
    <w:p w14:paraId="6B26BECA" w14:textId="5EBA5608" w:rsidR="003F035A" w:rsidRPr="00DE5BD8" w:rsidRDefault="7060CCCA" w:rsidP="00451662">
      <w:pPr>
        <w:pStyle w:val="PR3"/>
        <w:numPr>
          <w:ilvl w:val="4"/>
          <w:numId w:val="29"/>
        </w:numPr>
      </w:pPr>
      <w:r>
        <w:rPr>
          <w:lang w:bidi="es-US"/>
        </w:rPr>
        <w:t>Detección de potencia de bajo voltaje: los dispositivos proporcionan automáticamente un nivel de luz del 100% al detectar una pérdida de potencia a través de la conexión del cable de red de bajo voltaje, si corresponde.</w:t>
      </w:r>
    </w:p>
    <w:p w14:paraId="462336BF" w14:textId="143B684E" w:rsidR="003F035A" w:rsidRDefault="7060CCCA" w:rsidP="00451662">
      <w:pPr>
        <w:pStyle w:val="PR3"/>
      </w:pPr>
      <w:r>
        <w:rPr>
          <w:lang w:bidi="es-US"/>
        </w:rPr>
        <w:t>Detección de potencia de alto voltaje: los dispositivos listados como relés de emergencia UL 924 cierran automáticamente el relé de control de carga y proporcionan el 100% de la potencia de la luz al detectar la pérdida de potencia a través de la conexión de voltaje de línea a la alimentación normal.</w:t>
      </w:r>
    </w:p>
    <w:p w14:paraId="1BC82ADF" w14:textId="63898552" w:rsidR="003F035A" w:rsidRPr="00DE5BD8" w:rsidRDefault="5E414092" w:rsidP="006868A5">
      <w:pPr>
        <w:pStyle w:val="PR1"/>
        <w:numPr>
          <w:ilvl w:val="0"/>
          <w:numId w:val="24"/>
        </w:numPr>
      </w:pPr>
      <w:r>
        <w:rPr>
          <w:lang w:bidi="es-US"/>
        </w:rPr>
        <w:t>Características del panel de relés en red</w:t>
      </w:r>
    </w:p>
    <w:p w14:paraId="2FF99D76" w14:textId="56A0AA70" w:rsidR="003F035A" w:rsidRPr="00DE5BD8" w:rsidRDefault="014660CB" w:rsidP="00451662">
      <w:pPr>
        <w:pStyle w:val="PR2"/>
        <w:numPr>
          <w:ilvl w:val="0"/>
          <w:numId w:val="31"/>
        </w:numPr>
      </w:pPr>
      <w:r>
        <w:rPr>
          <w:lang w:bidi="es-US"/>
        </w:rPr>
        <w:t xml:space="preserve">El panel de relés podrá conectarse en red mediante una red IP. </w:t>
      </w:r>
    </w:p>
    <w:p w14:paraId="29F54C5C" w14:textId="3EA60873" w:rsidR="007C3CFC" w:rsidRDefault="007C3CFC" w:rsidP="00451662">
      <w:pPr>
        <w:pStyle w:val="PR2"/>
      </w:pPr>
      <w:r>
        <w:rPr>
          <w:lang w:bidi="es-US"/>
        </w:rPr>
        <w:t>La dirección IP puede ser estática o asignarse de forma automática mediante DHCP.</w:t>
      </w:r>
    </w:p>
    <w:p w14:paraId="45F9D2CF" w14:textId="00F26EAA" w:rsidR="003F035A" w:rsidRPr="00DE5BD8" w:rsidRDefault="0E02B9EA" w:rsidP="00451662">
      <w:pPr>
        <w:pStyle w:val="PR2"/>
      </w:pPr>
      <w:r>
        <w:rPr>
          <w:lang w:bidi="es-US"/>
        </w:rPr>
        <w:t xml:space="preserve">Se necesitará una conexión de red entre el panel de relés y el controlador de área </w:t>
      </w:r>
      <w:proofErr w:type="spellStart"/>
      <w:r>
        <w:rPr>
          <w:lang w:bidi="es-US"/>
        </w:rPr>
        <w:t>WaveLinx</w:t>
      </w:r>
      <w:proofErr w:type="spellEnd"/>
      <w:r>
        <w:rPr>
          <w:lang w:bidi="es-US"/>
        </w:rPr>
        <w:t>.</w:t>
      </w:r>
    </w:p>
    <w:p w14:paraId="1DB20E19" w14:textId="67590AD1" w:rsidR="003F035A" w:rsidRPr="00DE5BD8" w:rsidRDefault="48AF4BA9" w:rsidP="00451662">
      <w:pPr>
        <w:pStyle w:val="PR2"/>
      </w:pPr>
      <w:r>
        <w:rPr>
          <w:lang w:bidi="es-US"/>
        </w:rPr>
        <w:t xml:space="preserve">El relé y el módulo de atenuación se controlarán individualmente mediante el controlador de área </w:t>
      </w:r>
      <w:proofErr w:type="spellStart"/>
      <w:r>
        <w:rPr>
          <w:lang w:bidi="es-US"/>
        </w:rPr>
        <w:t>WaveLinx</w:t>
      </w:r>
      <w:proofErr w:type="spellEnd"/>
      <w:r>
        <w:rPr>
          <w:lang w:bidi="es-US"/>
        </w:rPr>
        <w:t>.</w:t>
      </w:r>
    </w:p>
    <w:p w14:paraId="59C15A0A" w14:textId="7C7FC6B0" w:rsidR="003F035A" w:rsidRDefault="0E02B9EA" w:rsidP="00451662">
      <w:pPr>
        <w:pStyle w:val="PR2"/>
      </w:pPr>
      <w:r>
        <w:rPr>
          <w:lang w:bidi="es-US"/>
        </w:rPr>
        <w:t xml:space="preserve">El panel de relés se controlará mediante dispositivos cableados e inalámbricos conectados al sistema </w:t>
      </w:r>
      <w:proofErr w:type="spellStart"/>
      <w:r>
        <w:rPr>
          <w:lang w:bidi="es-US"/>
        </w:rPr>
        <w:t>WaveLinx</w:t>
      </w:r>
      <w:proofErr w:type="spellEnd"/>
      <w:r>
        <w:rPr>
          <w:lang w:bidi="es-US"/>
        </w:rPr>
        <w:t>.</w:t>
      </w:r>
    </w:p>
    <w:p w14:paraId="1806ECDC" w14:textId="3F398A3C" w:rsidR="00783180" w:rsidRDefault="00540BEC" w:rsidP="00451662">
      <w:pPr>
        <w:pStyle w:val="PR2"/>
      </w:pPr>
      <w:r>
        <w:rPr>
          <w:lang w:bidi="es-US"/>
        </w:rPr>
        <w:t xml:space="preserve">El panel de relés se controlará mediante la misma aplicación móvil o web </w:t>
      </w:r>
      <w:proofErr w:type="spellStart"/>
      <w:r>
        <w:rPr>
          <w:lang w:bidi="es-US"/>
        </w:rPr>
        <w:t>WaveLinx</w:t>
      </w:r>
      <w:proofErr w:type="spellEnd"/>
      <w:r>
        <w:rPr>
          <w:lang w:bidi="es-US"/>
        </w:rPr>
        <w:t xml:space="preserve"> que los dispositivos cableados e inalámbricos.</w:t>
      </w:r>
    </w:p>
    <w:p w14:paraId="705B3B40" w14:textId="04C79861" w:rsidR="003F035A" w:rsidRPr="00DE5BD8" w:rsidRDefault="6B067AAE" w:rsidP="00451662">
      <w:pPr>
        <w:pStyle w:val="PR2"/>
      </w:pPr>
      <w:r>
        <w:rPr>
          <w:lang w:bidi="es-US"/>
        </w:rPr>
        <w:t>El panel de relés permitirá el control manual local de los relés y del módulo de atenuación.</w:t>
      </w:r>
    </w:p>
    <w:p w14:paraId="6A201B6C" w14:textId="02D5971C" w:rsidR="003F035A" w:rsidRPr="00DE5BD8" w:rsidRDefault="498D1E28" w:rsidP="00451662">
      <w:pPr>
        <w:pStyle w:val="PR3"/>
        <w:numPr>
          <w:ilvl w:val="4"/>
          <w:numId w:val="32"/>
        </w:numPr>
      </w:pPr>
      <w:r>
        <w:rPr>
          <w:lang w:bidi="es-US"/>
        </w:rPr>
        <w:t>Permite la anulación maestra local para cada relé o para todos los relés.</w:t>
      </w:r>
    </w:p>
    <w:p w14:paraId="7C69D127" w14:textId="651DBDD2" w:rsidR="003F035A" w:rsidRPr="00DE5BD8" w:rsidRDefault="498D1E28" w:rsidP="00451662">
      <w:pPr>
        <w:pStyle w:val="PR3"/>
      </w:pPr>
      <w:r>
        <w:rPr>
          <w:lang w:bidi="es-US"/>
        </w:rPr>
        <w:t xml:space="preserve">Permite la anulación maestra local para cada canal de atenuación o para todos los canales de atenuación. </w:t>
      </w:r>
    </w:p>
    <w:p w14:paraId="7D6C6AF8" w14:textId="50857A0B" w:rsidR="003F035A" w:rsidRPr="00DE5BD8" w:rsidRDefault="7A46E15D" w:rsidP="00451662">
      <w:pPr>
        <w:pStyle w:val="PR2"/>
      </w:pPr>
      <w:r>
        <w:rPr>
          <w:lang w:bidi="es-US"/>
        </w:rPr>
        <w:t>Anulación del bloqueo de activación/desactivación de grupos de relés múltiples e individuales.</w:t>
      </w:r>
    </w:p>
    <w:p w14:paraId="1E57A03B" w14:textId="0F8C3BAD" w:rsidR="003F035A" w:rsidRPr="00DE5BD8" w:rsidRDefault="78F8DDFC" w:rsidP="00451662">
      <w:pPr>
        <w:pStyle w:val="PR3"/>
        <w:numPr>
          <w:ilvl w:val="4"/>
          <w:numId w:val="33"/>
        </w:numPr>
      </w:pPr>
      <w:r>
        <w:rPr>
          <w:lang w:bidi="es-US"/>
        </w:rPr>
        <w:t>Anulación en la interfaz del panel LCD.</w:t>
      </w:r>
    </w:p>
    <w:p w14:paraId="402CE302" w14:textId="01BC6E0F" w:rsidR="003F035A" w:rsidRPr="00DE5BD8" w:rsidRDefault="00C67C25" w:rsidP="00451662">
      <w:pPr>
        <w:pStyle w:val="PR3"/>
      </w:pPr>
      <w:r>
        <w:rPr>
          <w:lang w:bidi="es-US"/>
        </w:rPr>
        <w:t>Anulación del bloqueo del relé local, ver detalles de los relés R40.</w:t>
      </w:r>
    </w:p>
    <w:p w14:paraId="55A5F0BB" w14:textId="01F84F42" w:rsidR="003F035A" w:rsidRPr="00DE5BD8" w:rsidRDefault="441DD771" w:rsidP="00451662">
      <w:pPr>
        <w:pStyle w:val="PR2"/>
      </w:pPr>
      <w:r>
        <w:rPr>
          <w:lang w:bidi="es-US"/>
        </w:rPr>
        <w:t>El panel de relés admitirá configuraciones de relés de hasta 3 polos.</w:t>
      </w:r>
    </w:p>
    <w:p w14:paraId="10871EAC" w14:textId="1079445C" w:rsidR="003F035A" w:rsidRPr="00DE5BD8" w:rsidRDefault="441DD771" w:rsidP="00451662">
      <w:pPr>
        <w:pStyle w:val="PR2"/>
      </w:pPr>
      <w:r>
        <w:rPr>
          <w:lang w:bidi="es-US"/>
        </w:rPr>
        <w:lastRenderedPageBreak/>
        <w:t xml:space="preserve">El panel de relés admitirá la respuesta de emergencia local UL924. </w:t>
      </w:r>
    </w:p>
    <w:p w14:paraId="1CF8AD81" w14:textId="18C2E20F" w:rsidR="003F035A" w:rsidRPr="00DE5BD8" w:rsidRDefault="37AF983F" w:rsidP="006868A5">
      <w:pPr>
        <w:pStyle w:val="PR1"/>
        <w:keepNext/>
        <w:numPr>
          <w:ilvl w:val="0"/>
          <w:numId w:val="24"/>
        </w:numPr>
        <w:ind w:left="1166"/>
      </w:pPr>
      <w:r>
        <w:rPr>
          <w:lang w:bidi="es-US"/>
        </w:rPr>
        <w:t>Capacidad de integración del sistema</w:t>
      </w:r>
    </w:p>
    <w:p w14:paraId="3C1881D3" w14:textId="3E22EE8B" w:rsidR="002D6D59" w:rsidRDefault="2DAF7AB8" w:rsidP="00451662">
      <w:pPr>
        <w:pStyle w:val="PR2"/>
        <w:numPr>
          <w:ilvl w:val="0"/>
          <w:numId w:val="34"/>
        </w:numPr>
      </w:pPr>
      <w:r>
        <w:rPr>
          <w:lang w:bidi="es-US"/>
        </w:rPr>
        <w:t>El sistema proporcionará las interfaces necesarias para integrarse con sistemas de terceros, tales como sistemas de gestión de edificios (BMS) y plataformas de edificios inteligentes.</w:t>
      </w:r>
    </w:p>
    <w:p w14:paraId="3E0D31F3" w14:textId="601D2FF8" w:rsidR="00B30B44" w:rsidRPr="00DE5BD8" w:rsidRDefault="005C3B9A" w:rsidP="00451662">
      <w:pPr>
        <w:pStyle w:val="PR2"/>
        <w:numPr>
          <w:ilvl w:val="0"/>
          <w:numId w:val="34"/>
        </w:numPr>
      </w:pPr>
      <w:r>
        <w:rPr>
          <w:lang w:bidi="es-US"/>
        </w:rPr>
        <w:t>Contará con un control holístico y una integración del sistema independiente de la tecnología.</w:t>
      </w:r>
    </w:p>
    <w:p w14:paraId="32713DE9" w14:textId="366DA000" w:rsidR="21B175B8" w:rsidRDefault="21B175B8" w:rsidP="00451662">
      <w:pPr>
        <w:pStyle w:val="PR2"/>
      </w:pPr>
      <w:r>
        <w:rPr>
          <w:lang w:bidi="es-US"/>
        </w:rPr>
        <w:t>El sistema ofrecerá las siguientes interfaces:</w:t>
      </w:r>
    </w:p>
    <w:p w14:paraId="6EE2BBFD" w14:textId="4986BEDA" w:rsidR="37AF983F" w:rsidRDefault="37AF983F" w:rsidP="00451662">
      <w:pPr>
        <w:pStyle w:val="PR3"/>
        <w:numPr>
          <w:ilvl w:val="4"/>
          <w:numId w:val="35"/>
        </w:numPr>
      </w:pPr>
      <w:r>
        <w:rPr>
          <w:lang w:bidi="es-US"/>
        </w:rPr>
        <w:t xml:space="preserve">Protocolo </w:t>
      </w:r>
      <w:proofErr w:type="spellStart"/>
      <w:r>
        <w:rPr>
          <w:lang w:bidi="es-US"/>
        </w:rPr>
        <w:t>BACnet</w:t>
      </w:r>
      <w:proofErr w:type="spellEnd"/>
      <w:r>
        <w:rPr>
          <w:lang w:bidi="es-US"/>
        </w:rPr>
        <w:t xml:space="preserve">/IP para integrarse con el sistema de automatización del edificio y con otros sistemas compatibles con </w:t>
      </w:r>
      <w:proofErr w:type="spellStart"/>
      <w:r>
        <w:rPr>
          <w:lang w:bidi="es-US"/>
        </w:rPr>
        <w:t>BACnet</w:t>
      </w:r>
      <w:proofErr w:type="spellEnd"/>
      <w:r>
        <w:rPr>
          <w:lang w:bidi="es-US"/>
        </w:rPr>
        <w:t xml:space="preserve">/IP. </w:t>
      </w:r>
    </w:p>
    <w:p w14:paraId="751741C1" w14:textId="4E8BEDB1" w:rsidR="37AF983F" w:rsidRDefault="37AF983F" w:rsidP="00451662">
      <w:pPr>
        <w:pStyle w:val="PR3"/>
      </w:pPr>
      <w:r>
        <w:rPr>
          <w:lang w:bidi="es-US"/>
        </w:rPr>
        <w:t xml:space="preserve">La API </w:t>
      </w:r>
      <w:proofErr w:type="spellStart"/>
      <w:r>
        <w:rPr>
          <w:lang w:bidi="es-US"/>
        </w:rPr>
        <w:t>RESTful</w:t>
      </w:r>
      <w:proofErr w:type="spellEnd"/>
      <w:r>
        <w:rPr>
          <w:lang w:bidi="es-US"/>
        </w:rPr>
        <w:t xml:space="preserve"> incluye las siguientes capacidades de integración del sistema:</w:t>
      </w:r>
    </w:p>
    <w:p w14:paraId="0B6ECF5A" w14:textId="4D52348F" w:rsidR="007F0752" w:rsidRPr="006A5F9A" w:rsidRDefault="37AF983F" w:rsidP="00451662">
      <w:pPr>
        <w:pStyle w:val="PR4"/>
      </w:pPr>
      <w:r>
        <w:rPr>
          <w:lang w:bidi="es-US"/>
        </w:rPr>
        <w:t>“Escribir” mensajes para controlar dispositivos individuales, incluidos relés y salidas de atenuación.</w:t>
      </w:r>
    </w:p>
    <w:p w14:paraId="53B1402E" w14:textId="4108FFAE" w:rsidR="003F035A" w:rsidRDefault="37AF983F" w:rsidP="00451662">
      <w:pPr>
        <w:pStyle w:val="PR4"/>
      </w:pPr>
      <w:r>
        <w:rPr>
          <w:lang w:bidi="es-US"/>
        </w:rPr>
        <w:t>“Escribir” mensajes para controlar grupos de dispositivos a través de un único comando, incluido el control de la salida de relé y de atenuación de todos los dispositivos.</w:t>
      </w:r>
    </w:p>
    <w:p w14:paraId="3138210B" w14:textId="067F0DD5" w:rsidR="003F035A" w:rsidRDefault="37AF983F" w:rsidP="00451662">
      <w:pPr>
        <w:pStyle w:val="PR4"/>
      </w:pPr>
      <w:r>
        <w:rPr>
          <w:lang w:bidi="es-US"/>
        </w:rPr>
        <w:t>“Leer” mensajes para obtener información sobre el estado de cada dispositivo. El estado disponible variará en función del tipo de dispositivo y sus capacidades, incluido el estado del relé, la salida de atenuación, la medición de potencia, el estado del sensor de ocupación y la medición de luz del fotosensor.</w:t>
      </w:r>
    </w:p>
    <w:p w14:paraId="332017B0" w14:textId="5DFED9FF" w:rsidR="37AF983F" w:rsidRDefault="37AF983F" w:rsidP="00451662">
      <w:pPr>
        <w:pStyle w:val="PR4"/>
      </w:pPr>
      <w:r>
        <w:rPr>
          <w:lang w:bidi="es-US"/>
        </w:rPr>
        <w:t>“Leer” mensajes para obtener información sobre el estado del grupo con respecto a la ocupación, el estado del relé y la salida de atenuación.</w:t>
      </w:r>
    </w:p>
    <w:p w14:paraId="3FF53BA9" w14:textId="1EA87EDA" w:rsidR="0F6F63A9" w:rsidRDefault="0F6F63A9" w:rsidP="00451662">
      <w:pPr>
        <w:pStyle w:val="PR3"/>
      </w:pPr>
      <w:proofErr w:type="spellStart"/>
      <w:r>
        <w:rPr>
          <w:lang w:bidi="es-US"/>
        </w:rPr>
        <w:t>OpenADR</w:t>
      </w:r>
      <w:proofErr w:type="spellEnd"/>
      <w:r>
        <w:rPr>
          <w:lang w:bidi="es-US"/>
        </w:rPr>
        <w:t xml:space="preserve"> 2.0b para las solicitudes activas de respuesta a la demanda de los servidores de automatización de la respuesta a la demanda (DRAS) de las empresas de servicios públicos. </w:t>
      </w:r>
    </w:p>
    <w:p w14:paraId="12D7DF64" w14:textId="5401DA2C" w:rsidR="007A573E" w:rsidRDefault="6EF7FBD2" w:rsidP="006868A5">
      <w:pPr>
        <w:pStyle w:val="PR1"/>
        <w:numPr>
          <w:ilvl w:val="0"/>
          <w:numId w:val="24"/>
        </w:numPr>
      </w:pPr>
      <w:r>
        <w:rPr>
          <w:lang w:bidi="es-US"/>
        </w:rPr>
        <w:t>Secuencia de operaciones admitida</w:t>
      </w:r>
    </w:p>
    <w:p w14:paraId="0465B1D7" w14:textId="796457FC" w:rsidR="007A573E" w:rsidRDefault="0A478B3F" w:rsidP="00451662">
      <w:pPr>
        <w:pStyle w:val="PR2"/>
        <w:numPr>
          <w:ilvl w:val="0"/>
          <w:numId w:val="36"/>
        </w:numPr>
      </w:pPr>
      <w:r>
        <w:rPr>
          <w:lang w:bidi="es-US"/>
        </w:rPr>
        <w:t>Zonas de control</w:t>
      </w:r>
    </w:p>
    <w:p w14:paraId="6EEC64C1" w14:textId="468AE199" w:rsidR="007A573E" w:rsidRDefault="0A478B3F" w:rsidP="00451662">
      <w:pPr>
        <w:pStyle w:val="PR3"/>
        <w:numPr>
          <w:ilvl w:val="4"/>
          <w:numId w:val="37"/>
        </w:numPr>
      </w:pPr>
      <w:r>
        <w:rPr>
          <w:lang w:bidi="es-US"/>
        </w:rPr>
        <w:t xml:space="preserve">Topología autónoma: </w:t>
      </w:r>
      <w:r w:rsidR="00350142">
        <w:rPr>
          <w:lang w:bidi="es-US"/>
        </w:rPr>
        <w:t>u</w:t>
      </w:r>
      <w:r>
        <w:rPr>
          <w:lang w:bidi="es-US"/>
        </w:rPr>
        <w:t xml:space="preserve">n grupo de dispositivos de control de iluminación (sensor de techo, unidades de pared, paquetes de interruptores) instalados en una misma área que se comunican entre sí y ajustan las luces del espacio en función del estado de ocupación, los niveles de luz diurna que entra en la habitación y las acciones de los ocupantes. Las luces pueden agruparse hasta en 16 zonas únicas de control para admitir secuencias de funcionamiento diferentes y reconfigurables dentro del área. </w:t>
      </w:r>
    </w:p>
    <w:p w14:paraId="7A250C08" w14:textId="10F63319" w:rsidR="007A573E" w:rsidRDefault="0A478B3F" w:rsidP="00451662">
      <w:pPr>
        <w:pStyle w:val="PR3"/>
      </w:pPr>
      <w:r>
        <w:rPr>
          <w:lang w:bidi="es-US"/>
        </w:rPr>
        <w:t xml:space="preserve">Topología en red: </w:t>
      </w:r>
      <w:r w:rsidR="00350142">
        <w:rPr>
          <w:lang w:bidi="es-US"/>
        </w:rPr>
        <w:t>u</w:t>
      </w:r>
      <w:r>
        <w:rPr>
          <w:lang w:bidi="es-US"/>
        </w:rPr>
        <w:t xml:space="preserve">n grupo de luminarias conectadas y dispositivos de control de iluminación (sensores de techo, unidades de pared, paquetes de interruptores), incluida una topología híbrida, instalados en diferentes zonas que se comunican con un controlador de área. Los dispositivos se comunican entre sí y ajustan las luces del espacio en función de su estado de ocupación, los niveles de luz diurna que entra en las habitaciones y las acciones de los ocupantes. Las luces pueden agruparse hasta en 30 zonas de control por área y hasta en 49 áreas para admitir secuencias de funcionamiento diferentes y reconfigurables dentro de esas áreas. </w:t>
      </w:r>
    </w:p>
    <w:p w14:paraId="7D11EC0C" w14:textId="3424A5BC" w:rsidR="007A573E" w:rsidRDefault="0A478B3F" w:rsidP="00451662">
      <w:pPr>
        <w:pStyle w:val="PR2"/>
      </w:pPr>
      <w:r>
        <w:rPr>
          <w:lang w:bidi="es-US"/>
        </w:rPr>
        <w:t>Funciones de la unidad de pared</w:t>
      </w:r>
    </w:p>
    <w:p w14:paraId="6EE5DF84" w14:textId="6A7690D2" w:rsidR="007A573E" w:rsidRDefault="0A478B3F" w:rsidP="00451662">
      <w:pPr>
        <w:pStyle w:val="PR3"/>
        <w:numPr>
          <w:ilvl w:val="4"/>
          <w:numId w:val="38"/>
        </w:numPr>
      </w:pPr>
      <w:r>
        <w:rPr>
          <w:lang w:bidi="es-US"/>
        </w:rPr>
        <w:t>Las unidades de pared admiten las siguientes funciones:</w:t>
      </w:r>
    </w:p>
    <w:p w14:paraId="05A6F576" w14:textId="780ACC0A" w:rsidR="007A573E" w:rsidRPr="00451662" w:rsidRDefault="0A478B3F" w:rsidP="00451662">
      <w:pPr>
        <w:pStyle w:val="PR4"/>
        <w:numPr>
          <w:ilvl w:val="7"/>
          <w:numId w:val="39"/>
        </w:numPr>
        <w:rPr>
          <w:lang w:val="pt-BR"/>
        </w:rPr>
      </w:pPr>
      <w:proofErr w:type="spellStart"/>
      <w:r w:rsidRPr="00451662">
        <w:rPr>
          <w:lang w:val="pt-BR" w:bidi="es-US"/>
        </w:rPr>
        <w:t>Control</w:t>
      </w:r>
      <w:proofErr w:type="spellEnd"/>
      <w:r w:rsidRPr="00451662">
        <w:rPr>
          <w:lang w:val="pt-BR" w:bidi="es-US"/>
        </w:rPr>
        <w:t xml:space="preserve"> de encendido/apagado de una o </w:t>
      </w:r>
      <w:proofErr w:type="gramStart"/>
      <w:r w:rsidRPr="00451662">
        <w:rPr>
          <w:lang w:val="pt-BR" w:bidi="es-US"/>
        </w:rPr>
        <w:t>varias</w:t>
      </w:r>
      <w:proofErr w:type="gramEnd"/>
      <w:r w:rsidRPr="00451662">
        <w:rPr>
          <w:lang w:val="pt-BR" w:bidi="es-US"/>
        </w:rPr>
        <w:t xml:space="preserve"> zonas.</w:t>
      </w:r>
    </w:p>
    <w:p w14:paraId="419695D8" w14:textId="7842CD37" w:rsidR="007A573E" w:rsidRDefault="0A478B3F" w:rsidP="00451662">
      <w:pPr>
        <w:pStyle w:val="PR4"/>
      </w:pPr>
      <w:r>
        <w:rPr>
          <w:lang w:bidi="es-US"/>
        </w:rPr>
        <w:t>Atenuación continua del nivel de luz de una o de varias zonas.</w:t>
      </w:r>
    </w:p>
    <w:p w14:paraId="00A46F70" w14:textId="226F10C9" w:rsidR="007A573E" w:rsidRDefault="0A478B3F" w:rsidP="00451662">
      <w:pPr>
        <w:pStyle w:val="PR4"/>
      </w:pPr>
      <w:r>
        <w:rPr>
          <w:lang w:bidi="es-US"/>
        </w:rPr>
        <w:t>Control multidireccional: múltiples unidades de pared cuentan con la capacidad de controlar las mismas zonas para permitir el control de cambio “multidireccional” y de atenuación.</w:t>
      </w:r>
    </w:p>
    <w:p w14:paraId="48997530" w14:textId="6F32878D" w:rsidR="007A573E" w:rsidRDefault="0A478B3F" w:rsidP="00451662">
      <w:pPr>
        <w:pStyle w:val="PR4"/>
      </w:pPr>
      <w:r>
        <w:rPr>
          <w:lang w:bidi="es-US"/>
        </w:rPr>
        <w:t>Acciones mínimas admitidas: nivel de luz específico, escena específica, subir, bajar, alternar (disponible solo en topología en red).</w:t>
      </w:r>
    </w:p>
    <w:p w14:paraId="2F62654E" w14:textId="17D52FA0" w:rsidR="0A478B3F" w:rsidRDefault="0A478B3F" w:rsidP="00451662">
      <w:pPr>
        <w:pStyle w:val="PR4"/>
      </w:pPr>
      <w:r>
        <w:rPr>
          <w:lang w:bidi="es-US"/>
        </w:rPr>
        <w:lastRenderedPageBreak/>
        <w:t xml:space="preserve">Integración de </w:t>
      </w:r>
      <w:proofErr w:type="spellStart"/>
      <w:r>
        <w:rPr>
          <w:lang w:bidi="es-US"/>
        </w:rPr>
        <w:t>Mechoshades</w:t>
      </w:r>
      <w:proofErr w:type="spellEnd"/>
      <w:r>
        <w:rPr>
          <w:lang w:bidi="es-US"/>
        </w:rPr>
        <w:t xml:space="preserve">®: en una topología en red con un controlador de supervisión, una unidad de pared puede controlar una persiana mediante un sistema de control </w:t>
      </w:r>
      <w:proofErr w:type="spellStart"/>
      <w:r>
        <w:rPr>
          <w:lang w:bidi="es-US"/>
        </w:rPr>
        <w:t>Mechoshades</w:t>
      </w:r>
      <w:proofErr w:type="spellEnd"/>
      <w:r>
        <w:rPr>
          <w:lang w:bidi="es-US"/>
        </w:rPr>
        <w:t>®.</w:t>
      </w:r>
    </w:p>
    <w:p w14:paraId="31FA3F51" w14:textId="505F1ED1" w:rsidR="75A85865" w:rsidRDefault="75A85865" w:rsidP="00451662">
      <w:pPr>
        <w:pStyle w:val="PR2"/>
      </w:pPr>
      <w:r>
        <w:rPr>
          <w:lang w:bidi="es-US"/>
        </w:rPr>
        <w:t xml:space="preserve">Capacidades de detección de ocupación </w:t>
      </w:r>
    </w:p>
    <w:p w14:paraId="34A79B52" w14:textId="3196B58E" w:rsidR="007A573E" w:rsidRPr="00FB34E1" w:rsidRDefault="0A478B3F" w:rsidP="00451662">
      <w:pPr>
        <w:pStyle w:val="PR3"/>
        <w:numPr>
          <w:ilvl w:val="4"/>
          <w:numId w:val="40"/>
        </w:numPr>
      </w:pPr>
      <w:r>
        <w:rPr>
          <w:lang w:bidi="es-US"/>
        </w:rPr>
        <w:t>Sensores de ocupación configurables para controlar una o varias zonas.</w:t>
      </w:r>
    </w:p>
    <w:p w14:paraId="51996980" w14:textId="2A88C3F9" w:rsidR="007A573E" w:rsidRPr="00FB34E1" w:rsidRDefault="0A478B3F" w:rsidP="00451662">
      <w:pPr>
        <w:pStyle w:val="PR3"/>
      </w:pPr>
      <w:r>
        <w:rPr>
          <w:lang w:bidi="es-US"/>
        </w:rPr>
        <w:t>Varios sensores de ocupación que controlan una o varias zonas.</w:t>
      </w:r>
    </w:p>
    <w:p w14:paraId="5A231A27" w14:textId="0DF40E77" w:rsidR="007A573E" w:rsidRPr="00FB34E1" w:rsidRDefault="0A478B3F" w:rsidP="00451662">
      <w:pPr>
        <w:pStyle w:val="PR3"/>
      </w:pPr>
      <w:r>
        <w:rPr>
          <w:lang w:bidi="es-US"/>
        </w:rPr>
        <w:t>Secuencia de modos de funcionamiento de la detección de ocupación:</w:t>
      </w:r>
    </w:p>
    <w:p w14:paraId="2962A027" w14:textId="48E0BC43" w:rsidR="007A573E" w:rsidRPr="00FB34E1" w:rsidRDefault="0A478B3F" w:rsidP="00451662">
      <w:pPr>
        <w:pStyle w:val="PR4"/>
        <w:numPr>
          <w:ilvl w:val="7"/>
          <w:numId w:val="41"/>
        </w:numPr>
      </w:pPr>
      <w:r>
        <w:rPr>
          <w:lang w:bidi="es-US"/>
        </w:rPr>
        <w:t>detección de ocupación encendido/apagado;</w:t>
      </w:r>
    </w:p>
    <w:p w14:paraId="585AA7D2" w14:textId="38BD372E" w:rsidR="007A573E" w:rsidRPr="00FB34E1" w:rsidRDefault="0A478B3F" w:rsidP="00451662">
      <w:pPr>
        <w:pStyle w:val="PR4"/>
      </w:pPr>
      <w:r>
        <w:rPr>
          <w:lang w:bidi="es-US"/>
        </w:rPr>
        <w:t>detección de ocupación parcialmente encendido (incluidos los conjuntos de ocupación asociados);</w:t>
      </w:r>
    </w:p>
    <w:p w14:paraId="13318536" w14:textId="776B5080" w:rsidR="007A573E" w:rsidRPr="00FB34E1" w:rsidRDefault="0A478B3F" w:rsidP="00451662">
      <w:pPr>
        <w:pStyle w:val="PR4"/>
      </w:pPr>
      <w:r>
        <w:rPr>
          <w:lang w:bidi="es-US"/>
        </w:rPr>
        <w:t>detección de ocupación parcialmente apagado;</w:t>
      </w:r>
    </w:p>
    <w:p w14:paraId="2E04FD2D" w14:textId="0CF44857" w:rsidR="007A573E" w:rsidRPr="00FB34E1" w:rsidRDefault="0A478B3F" w:rsidP="00451662">
      <w:pPr>
        <w:pStyle w:val="PR4"/>
      </w:pPr>
      <w:r>
        <w:rPr>
          <w:lang w:bidi="es-US"/>
        </w:rPr>
        <w:t>detección de desocupación (encendido manual/apagado automático).</w:t>
      </w:r>
    </w:p>
    <w:p w14:paraId="5E6CF520" w14:textId="2FF7E550" w:rsidR="007A573E" w:rsidRPr="00FB34E1" w:rsidRDefault="0A478B3F" w:rsidP="00451662">
      <w:pPr>
        <w:pStyle w:val="PR3"/>
      </w:pPr>
      <w:r>
        <w:rPr>
          <w:lang w:bidi="es-US"/>
        </w:rPr>
        <w:t>Secuencia de funcionamiento de los modos de detección de ocupación encendido/apagado, parcialmente encendido y parcialmente apagado:</w:t>
      </w:r>
    </w:p>
    <w:p w14:paraId="78A2DD79" w14:textId="1D2A97F0" w:rsidR="007A573E" w:rsidRDefault="5D2489B6" w:rsidP="00451662">
      <w:pPr>
        <w:pStyle w:val="PR4"/>
        <w:numPr>
          <w:ilvl w:val="7"/>
          <w:numId w:val="42"/>
        </w:numPr>
      </w:pPr>
      <w:r>
        <w:rPr>
          <w:lang w:bidi="es-US"/>
        </w:rPr>
        <w:t>Cuando se detecta ocupación del espacio, las luces se encienden automáticamente a un nivel o escena designados (de 0% a 100%).</w:t>
      </w:r>
    </w:p>
    <w:p w14:paraId="7439726F" w14:textId="435B6D2F" w:rsidR="007B29A9" w:rsidRPr="00FB34E1" w:rsidRDefault="007B29A9" w:rsidP="00451662">
      <w:pPr>
        <w:pStyle w:val="PR4"/>
        <w:numPr>
          <w:ilvl w:val="7"/>
          <w:numId w:val="42"/>
        </w:numPr>
      </w:pPr>
      <w:r>
        <w:rPr>
          <w:lang w:bidi="es-US"/>
        </w:rPr>
        <w:t>Cuando se detecta ocupación del espacio en un conjunto de ocupación asociado, se encienden automáticamente las luces a un nivel o escena designados (de 0% a 100%).</w:t>
      </w:r>
    </w:p>
    <w:p w14:paraId="7D235B8B" w14:textId="4597E318" w:rsidR="007A573E" w:rsidRPr="00FB34E1" w:rsidRDefault="0A478B3F" w:rsidP="00451662">
      <w:pPr>
        <w:pStyle w:val="PR4"/>
      </w:pPr>
      <w:r>
        <w:rPr>
          <w:lang w:bidi="es-US"/>
        </w:rPr>
        <w:t>Los sensores de ocupación apagan automáticamente las luces o las atenúan (apagado parcial) cuando se produce desocupación o si se detecta suficiente luz diurna.</w:t>
      </w:r>
    </w:p>
    <w:p w14:paraId="61847B11" w14:textId="21CBE48C" w:rsidR="007A573E" w:rsidRPr="00FB34E1" w:rsidRDefault="5D2489B6" w:rsidP="00451662">
      <w:pPr>
        <w:pStyle w:val="PR4"/>
      </w:pPr>
      <w:r>
        <w:rPr>
          <w:lang w:bidi="es-US"/>
        </w:rPr>
        <w:t>Un sistema capaz de combinar las operaciones de apagado parcial y apagado total atenuando las luces a un nivel determinado cuando el espacio está desocupado y apagándolas por completo tras un tiempo de retardo adicional.</w:t>
      </w:r>
    </w:p>
    <w:p w14:paraId="1581D74D" w14:textId="74EC41FC" w:rsidR="007A573E" w:rsidRPr="00FB34E1" w:rsidRDefault="597369BC" w:rsidP="00451662">
      <w:pPr>
        <w:pStyle w:val="PR4"/>
      </w:pPr>
      <w:r>
        <w:rPr>
          <w:lang w:bidi="es-US"/>
        </w:rPr>
        <w:t>Si se activa en la zona de control de detección de ocupación, las lecturas del fotosensor ajustan de forma automática los niveles de luz durante las condiciones de ocupación o desocupación según sea necesario.</w:t>
      </w:r>
    </w:p>
    <w:p w14:paraId="2E6C5509" w14:textId="1E060C40" w:rsidR="007A573E" w:rsidRPr="00FB34E1" w:rsidRDefault="0A478B3F" w:rsidP="00451662">
      <w:pPr>
        <w:pStyle w:val="PR4"/>
      </w:pPr>
      <w:r>
        <w:rPr>
          <w:lang w:bidi="es-US"/>
        </w:rPr>
        <w:t>La activación de la unidad de pared cambia el nivel de atenuación o apaga las luces a elección del ocupante. Las luces permanecen opcionalmente en este nivel de luz especificado de manera manual hasta que la zona queda desocupada. Al desocuparse, se reanuda la secuencia normal de funcionamiento.</w:t>
      </w:r>
    </w:p>
    <w:p w14:paraId="15E05C97" w14:textId="7ED3D1FD" w:rsidR="007A573E" w:rsidRPr="00FB34E1" w:rsidRDefault="0A478B3F" w:rsidP="00451662">
      <w:pPr>
        <w:pStyle w:val="PR3"/>
      </w:pPr>
      <w:r>
        <w:rPr>
          <w:lang w:bidi="es-US"/>
        </w:rPr>
        <w:t>Secuencia de funcionamiento del modo de detección de desocupación o modo manual de encendido/apagado automático:</w:t>
      </w:r>
    </w:p>
    <w:p w14:paraId="290DED69" w14:textId="40E7E428" w:rsidR="007A573E" w:rsidRPr="00FB34E1" w:rsidRDefault="0A478B3F" w:rsidP="00451662">
      <w:pPr>
        <w:pStyle w:val="PR4"/>
        <w:numPr>
          <w:ilvl w:val="7"/>
          <w:numId w:val="43"/>
        </w:numPr>
      </w:pPr>
      <w:r>
        <w:rPr>
          <w:lang w:bidi="es-US"/>
        </w:rPr>
        <w:t>Para encender las luces es necesario activar una unidad de pared. Un sistema capaz de programar el encendido del área a un nivel de luz determinado. La ocupación inicial del espacio sin utilizar una unidad de pared no debe provocar el encendido de las luces.</w:t>
      </w:r>
    </w:p>
    <w:p w14:paraId="4339B962" w14:textId="1D00D56F" w:rsidR="007A573E" w:rsidRDefault="0A478B3F" w:rsidP="00451662">
      <w:pPr>
        <w:pStyle w:val="PR4"/>
      </w:pPr>
      <w:r>
        <w:rPr>
          <w:lang w:bidi="es-US"/>
        </w:rPr>
        <w:t xml:space="preserve">Los sensores de ocupación apagan automáticamente las luces o las atenúan (apagado parcial) cuando se produce desocupación o si se detecta suficiente luz diurna. Los usuarios pueden modificar el nivel de luz de desocupación por defecto (0%) por otro nivel de luz. </w:t>
      </w:r>
    </w:p>
    <w:p w14:paraId="580DCBB6" w14:textId="568198F6" w:rsidR="007A573E" w:rsidRPr="00FB34E1" w:rsidRDefault="0A478B3F" w:rsidP="00451662">
      <w:pPr>
        <w:pStyle w:val="PR4"/>
      </w:pPr>
      <w:r>
        <w:rPr>
          <w:lang w:bidi="es-US"/>
        </w:rPr>
        <w:t>Las lecturas del fotosensor, si están activadas en el control de detección de ocupación, pueden ajustar de forma automática el nivel de luz durante condiciones de ocupación o desocupación según sea necesario.</w:t>
      </w:r>
    </w:p>
    <w:p w14:paraId="2829C026" w14:textId="597D5200" w:rsidR="007A573E" w:rsidRPr="00FB34E1" w:rsidRDefault="0A478B3F" w:rsidP="00451662">
      <w:pPr>
        <w:pStyle w:val="PR4"/>
      </w:pPr>
      <w:r>
        <w:rPr>
          <w:lang w:bidi="es-US"/>
        </w:rPr>
        <w:t>La interacción con la unidad de pared cambia el nivel de atenuación o apaga las luces a elección del ocupante. Las luces permanecen en el nivel de luz especificado manualmente hasta que la zona se desocupa; la secuencia normal de funcionamiento se reanuda al desocuparse.</w:t>
      </w:r>
    </w:p>
    <w:p w14:paraId="791029C8" w14:textId="02EC447A" w:rsidR="007A573E" w:rsidRPr="00FB34E1" w:rsidRDefault="0A478B3F" w:rsidP="00451662">
      <w:pPr>
        <w:pStyle w:val="PR3"/>
      </w:pPr>
      <w:r>
        <w:rPr>
          <w:lang w:bidi="es-US"/>
        </w:rPr>
        <w:t>Tiempos de retardo de ocupación antes de atenuar o apagar las luces programables por separado para todas las zonas de control de 15 segundos a 2 horas.</w:t>
      </w:r>
    </w:p>
    <w:p w14:paraId="1F0FB8EA" w14:textId="6ECEE7AC" w:rsidR="007A573E" w:rsidRPr="00FB34E1" w:rsidRDefault="247DD6D1" w:rsidP="00451662">
      <w:pPr>
        <w:pStyle w:val="PR3"/>
      </w:pPr>
      <w:r>
        <w:rPr>
          <w:lang w:bidi="es-US"/>
        </w:rPr>
        <w:t>Secuencia de funcionamiento del modo de energía:</w:t>
      </w:r>
    </w:p>
    <w:p w14:paraId="0621EA53" w14:textId="7B612388" w:rsidR="007A573E" w:rsidRPr="00FB34E1" w:rsidRDefault="247DD6D1" w:rsidP="00451662">
      <w:pPr>
        <w:pStyle w:val="PR4"/>
        <w:numPr>
          <w:ilvl w:val="7"/>
          <w:numId w:val="44"/>
        </w:numPr>
      </w:pPr>
      <w:r>
        <w:rPr>
          <w:lang w:bidi="es-US"/>
        </w:rPr>
        <w:lastRenderedPageBreak/>
        <w:t>El sistema deberá ser capaz de atenuar las luces cuando las zonas estén vacías y apagarlas por completo tras un tiempo de retardo adicional.</w:t>
      </w:r>
    </w:p>
    <w:p w14:paraId="6730BF04" w14:textId="05C5948D" w:rsidR="007A573E" w:rsidRPr="00FB34E1" w:rsidRDefault="0A478B3F" w:rsidP="00451662">
      <w:pPr>
        <w:pStyle w:val="PR4"/>
      </w:pPr>
      <w:r>
        <w:rPr>
          <w:lang w:bidi="es-US"/>
        </w:rPr>
        <w:t xml:space="preserve">Conjuntos de ocupación asociados: </w:t>
      </w:r>
      <w:r w:rsidR="00350142">
        <w:rPr>
          <w:lang w:bidi="es-US"/>
        </w:rPr>
        <w:t>l</w:t>
      </w:r>
      <w:r>
        <w:rPr>
          <w:lang w:bidi="es-US"/>
        </w:rPr>
        <w:t>os dispositivos de control conectados en red pueden seguir las emisiones de ocupación de zonas adyacentes. Cuando esta función está activada, la salida de la luminaria para una zona desocupada se reducirá a un estado de atenuación configurable si una o más zonas adyacentes están ocupadas. Las luminarias se apagarán cuando tanto la zona primaria como las adyacentes estén desocupadas.</w:t>
      </w:r>
    </w:p>
    <w:p w14:paraId="7F2A03A7" w14:textId="3D91E7B4" w:rsidR="007A573E" w:rsidRPr="00FB34E1" w:rsidRDefault="662FDF13" w:rsidP="00451662">
      <w:pPr>
        <w:pStyle w:val="PR2"/>
      </w:pPr>
      <w:r>
        <w:rPr>
          <w:lang w:bidi="es-US"/>
        </w:rPr>
        <w:t xml:space="preserve">Funciones de detección de la luz diurna </w:t>
      </w:r>
    </w:p>
    <w:p w14:paraId="231FC002" w14:textId="65004561" w:rsidR="007A573E" w:rsidRPr="00FB34E1" w:rsidRDefault="0A478B3F" w:rsidP="00451662">
      <w:pPr>
        <w:pStyle w:val="PR3"/>
        <w:numPr>
          <w:ilvl w:val="4"/>
          <w:numId w:val="45"/>
        </w:numPr>
      </w:pPr>
      <w:r>
        <w:rPr>
          <w:lang w:bidi="es-US"/>
        </w:rPr>
        <w:t>Dispositivos fotosensores configurables para controlar una zona local.</w:t>
      </w:r>
    </w:p>
    <w:p w14:paraId="79E68948" w14:textId="7683459E" w:rsidR="007A573E" w:rsidRPr="00FB34E1" w:rsidRDefault="0A478B3F" w:rsidP="00451662">
      <w:pPr>
        <w:pStyle w:val="PR3"/>
      </w:pPr>
      <w:r>
        <w:rPr>
          <w:lang w:bidi="es-US"/>
        </w:rPr>
        <w:t>Control basado en fotosensores: el fotosensor ajustará de forma automática la salida de atenuación en respuesta a las lecturas fotométricas, para mantener un nivel mínimo de luz compuesto tanto por la luz eléctrica como por fuentes de luz diurna. La respuesta del fotosensor puede ajustarse mediante la aplicación de programación.</w:t>
      </w:r>
    </w:p>
    <w:p w14:paraId="63469CCA" w14:textId="4ADEA4C2" w:rsidR="0040402C" w:rsidRDefault="56A39523" w:rsidP="00451662">
      <w:pPr>
        <w:pStyle w:val="PR2"/>
      </w:pPr>
      <w:r>
        <w:rPr>
          <w:lang w:bidi="es-US"/>
        </w:rPr>
        <w:t xml:space="preserve">Capacidades de eventos basados en el tiempo en el funcionamiento en red </w:t>
      </w:r>
    </w:p>
    <w:p w14:paraId="5BDE1C59" w14:textId="06BA630F" w:rsidR="0040402C" w:rsidRDefault="194CCE82" w:rsidP="00451662">
      <w:pPr>
        <w:pStyle w:val="PR3"/>
        <w:numPr>
          <w:ilvl w:val="4"/>
          <w:numId w:val="46"/>
        </w:numPr>
      </w:pPr>
      <w:r>
        <w:rPr>
          <w:lang w:bidi="es-US"/>
        </w:rPr>
        <w:t xml:space="preserve">El sistema deberá ser capaz de desencadenar acciones en el momento definido por el usuario. </w:t>
      </w:r>
    </w:p>
    <w:p w14:paraId="609FD572" w14:textId="5A5F7AAC" w:rsidR="0040402C" w:rsidRDefault="7F6C7378" w:rsidP="00451662">
      <w:pPr>
        <w:pStyle w:val="PR3"/>
      </w:pPr>
      <w:r>
        <w:rPr>
          <w:lang w:bidi="es-US"/>
        </w:rPr>
        <w:t>Las siguientes acciones pueden definirse con un evento basado en el tiempo:</w:t>
      </w:r>
    </w:p>
    <w:p w14:paraId="681FAB63" w14:textId="2F6B798D" w:rsidR="00AE03AE" w:rsidRDefault="356FBCB5" w:rsidP="00451662">
      <w:pPr>
        <w:pStyle w:val="PR4"/>
        <w:numPr>
          <w:ilvl w:val="7"/>
          <w:numId w:val="47"/>
        </w:numPr>
      </w:pPr>
      <w:r>
        <w:rPr>
          <w:lang w:bidi="es-US"/>
        </w:rPr>
        <w:t>activar/desactivar unidades de pared;</w:t>
      </w:r>
    </w:p>
    <w:p w14:paraId="21FEDB3E" w14:textId="4922E62C" w:rsidR="00AE03AE" w:rsidRPr="00AE03AE" w:rsidRDefault="356FBCB5" w:rsidP="00451662">
      <w:pPr>
        <w:pStyle w:val="PR4"/>
      </w:pPr>
      <w:r>
        <w:rPr>
          <w:lang w:bidi="es-US"/>
        </w:rPr>
        <w:t>seleccionar acciones de ocupación;</w:t>
      </w:r>
    </w:p>
    <w:p w14:paraId="492DB10A" w14:textId="7DF0016F" w:rsidR="00AE03AE" w:rsidRPr="006868A5" w:rsidRDefault="356FBCB5" w:rsidP="00451662">
      <w:pPr>
        <w:pStyle w:val="PR4"/>
        <w:rPr>
          <w:lang w:val="pt-BR"/>
        </w:rPr>
      </w:pPr>
      <w:proofErr w:type="spellStart"/>
      <w:r w:rsidRPr="006868A5">
        <w:rPr>
          <w:lang w:val="pt-BR" w:bidi="es-US"/>
        </w:rPr>
        <w:t>seleccionar</w:t>
      </w:r>
      <w:proofErr w:type="spellEnd"/>
      <w:r w:rsidRPr="006868A5">
        <w:rPr>
          <w:lang w:val="pt-BR" w:bidi="es-US"/>
        </w:rPr>
        <w:t xml:space="preserve"> </w:t>
      </w:r>
      <w:proofErr w:type="spellStart"/>
      <w:r w:rsidRPr="006868A5">
        <w:rPr>
          <w:lang w:val="pt-BR" w:bidi="es-US"/>
        </w:rPr>
        <w:t>escenas</w:t>
      </w:r>
      <w:proofErr w:type="spellEnd"/>
      <w:r w:rsidRPr="006868A5">
        <w:rPr>
          <w:lang w:val="pt-BR" w:bidi="es-US"/>
        </w:rPr>
        <w:t xml:space="preserve"> para una o </w:t>
      </w:r>
      <w:proofErr w:type="gramStart"/>
      <w:r w:rsidRPr="006868A5">
        <w:rPr>
          <w:lang w:val="pt-BR" w:bidi="es-US"/>
        </w:rPr>
        <w:t>varias</w:t>
      </w:r>
      <w:proofErr w:type="gramEnd"/>
      <w:r w:rsidRPr="006868A5">
        <w:rPr>
          <w:lang w:val="pt-BR" w:bidi="es-US"/>
        </w:rPr>
        <w:t xml:space="preserve"> áreas </w:t>
      </w:r>
      <w:proofErr w:type="gramStart"/>
      <w:r w:rsidRPr="006868A5">
        <w:rPr>
          <w:lang w:val="pt-BR" w:bidi="es-US"/>
        </w:rPr>
        <w:t>o zonas</w:t>
      </w:r>
      <w:proofErr w:type="gramEnd"/>
      <w:r w:rsidRPr="006868A5">
        <w:rPr>
          <w:lang w:val="pt-BR" w:bidi="es-US"/>
        </w:rPr>
        <w:t>;</w:t>
      </w:r>
    </w:p>
    <w:p w14:paraId="78EDAC77" w14:textId="2F9211AA" w:rsidR="00AE03AE" w:rsidRPr="00AE03AE" w:rsidRDefault="356FBCB5" w:rsidP="00451662">
      <w:pPr>
        <w:pStyle w:val="PR4"/>
      </w:pPr>
      <w:r>
        <w:rPr>
          <w:lang w:bidi="es-US"/>
        </w:rPr>
        <w:t>ajustar el nivel de sintonización de blancos para una o varias áreas o zonas;</w:t>
      </w:r>
    </w:p>
    <w:p w14:paraId="50FE3748" w14:textId="3400EAA5" w:rsidR="00AE03AE" w:rsidRPr="00AE03AE" w:rsidRDefault="356FBCB5" w:rsidP="00451662">
      <w:pPr>
        <w:pStyle w:val="PR4"/>
      </w:pPr>
      <w:r>
        <w:rPr>
          <w:lang w:bidi="es-US"/>
        </w:rPr>
        <w:t xml:space="preserve">ajustar el nivel de zona para una o varias zonas; </w:t>
      </w:r>
    </w:p>
    <w:p w14:paraId="22B8F388" w14:textId="7D400F6D" w:rsidR="00AE03AE" w:rsidRDefault="356FBCB5" w:rsidP="00451662">
      <w:pPr>
        <w:pStyle w:val="PR4"/>
      </w:pPr>
      <w:r>
        <w:rPr>
          <w:lang w:bidi="es-US"/>
        </w:rPr>
        <w:t>activar/desactivar la detección de ocupación;</w:t>
      </w:r>
    </w:p>
    <w:p w14:paraId="14A839C2" w14:textId="0E469A85" w:rsidR="001377D8" w:rsidRDefault="12F2CF98" w:rsidP="00451662">
      <w:pPr>
        <w:pStyle w:val="PR4"/>
      </w:pPr>
      <w:r>
        <w:rPr>
          <w:lang w:bidi="es-US"/>
        </w:rPr>
        <w:t>activar/desactivar el temporizador manual.</w:t>
      </w:r>
    </w:p>
    <w:p w14:paraId="2CB8250A" w14:textId="42FEFF35" w:rsidR="001377D8" w:rsidRDefault="22B77A1C" w:rsidP="00451662">
      <w:pPr>
        <w:pStyle w:val="PR3"/>
      </w:pPr>
      <w:r>
        <w:rPr>
          <w:lang w:bidi="es-US"/>
        </w:rPr>
        <w:t xml:space="preserve">El sistema permitirá al usuario definir acciones recurrentes. El usuario puede definir una fecha diaria, semanal, anual o específica. El sistema admitirá la definición de fecha de inicio, fecha de finalización, finalización después de “n” recurrencias o sin finalización. </w:t>
      </w:r>
    </w:p>
    <w:p w14:paraId="1459C067" w14:textId="2270AA7A" w:rsidR="001377D8" w:rsidRDefault="7F1D1A26" w:rsidP="00451662">
      <w:pPr>
        <w:pStyle w:val="PR3"/>
      </w:pPr>
      <w:r>
        <w:rPr>
          <w:lang w:bidi="es-US"/>
        </w:rPr>
        <w:t>El sistema deberá permitir que los usuarios programen eventos en función de la salida y la puesta del sol. Las horas de salida y puesta del sol se derivan automáticamente de la ubicación del edificio mediante un reloj astronómico. El sistema deberá ser capaz de ser compatible con edificios situados en distintas geografías. El sistema también permitirá definir desfases temporales en relación con la salida o la puesta del sol.</w:t>
      </w:r>
    </w:p>
    <w:p w14:paraId="5673814A" w14:textId="0AD28B05" w:rsidR="001377D8" w:rsidRDefault="39E57784" w:rsidP="00451662">
      <w:pPr>
        <w:pStyle w:val="PR3"/>
      </w:pPr>
      <w:r>
        <w:rPr>
          <w:lang w:bidi="es-US"/>
        </w:rPr>
        <w:t xml:space="preserve">La aplicación de software de gestión de iluminación ofrecerá una vista gráfica del calendario de eventos programados y programaciones de los perfiles para cada zona de control. El sistema admitirá vistas del calendario en modo diaria, semanal y mensual. </w:t>
      </w:r>
    </w:p>
    <w:p w14:paraId="35D57F78" w14:textId="4090E481" w:rsidR="2504498F" w:rsidRDefault="2504498F" w:rsidP="00451662">
      <w:pPr>
        <w:pStyle w:val="PR2"/>
      </w:pPr>
      <w:r>
        <w:rPr>
          <w:lang w:bidi="es-US"/>
        </w:rPr>
        <w:t xml:space="preserve">Características generales </w:t>
      </w:r>
    </w:p>
    <w:p w14:paraId="342288AD" w14:textId="23162BCB" w:rsidR="00250033" w:rsidRPr="00FB34E1" w:rsidRDefault="270EC9C7" w:rsidP="00451662">
      <w:pPr>
        <w:pStyle w:val="PR3"/>
        <w:numPr>
          <w:ilvl w:val="4"/>
          <w:numId w:val="48"/>
        </w:numPr>
      </w:pPr>
      <w:r>
        <w:rPr>
          <w:lang w:bidi="es-US"/>
        </w:rPr>
        <w:t>Sistema capaz de proporcionar un “aviso de parpadeo” visible antes de que se apague una luz si así lo requiere la secuencia de operaciones.</w:t>
      </w:r>
    </w:p>
    <w:p w14:paraId="7256BE2B" w14:textId="1C71F880" w:rsidR="0063542E" w:rsidRPr="005A6F5A" w:rsidRDefault="0063542E" w:rsidP="006868A5">
      <w:pPr>
        <w:pStyle w:val="Heading2"/>
        <w:keepNext/>
      </w:pPr>
      <w:r w:rsidRPr="005A6F5A">
        <w:rPr>
          <w:lang w:bidi="es-US"/>
        </w:rPr>
        <w:t>INTERFACES DE SOFTWARE DEL SISTEMA</w:t>
      </w:r>
    </w:p>
    <w:p w14:paraId="400CC99F" w14:textId="0674072C" w:rsidR="294E786A" w:rsidRDefault="67065B4B" w:rsidP="006868A5">
      <w:pPr>
        <w:pStyle w:val="PR1"/>
        <w:keepNext/>
        <w:numPr>
          <w:ilvl w:val="0"/>
          <w:numId w:val="49"/>
        </w:numPr>
      </w:pPr>
      <w:r>
        <w:rPr>
          <w:lang w:bidi="es-US"/>
        </w:rPr>
        <w:t xml:space="preserve">El sistema permitirá que los usuarios programen y gestionen el sistema a través de una aplicación móvil o el navegador web más reciente de Apple, Google y Microsoft. </w:t>
      </w:r>
    </w:p>
    <w:p w14:paraId="5AB4A7E4" w14:textId="1460A06A" w:rsidR="294E786A" w:rsidRDefault="09D8535F" w:rsidP="006868A5">
      <w:pPr>
        <w:pStyle w:val="PR1"/>
        <w:keepNext/>
        <w:numPr>
          <w:ilvl w:val="0"/>
          <w:numId w:val="24"/>
        </w:numPr>
      </w:pPr>
      <w:r>
        <w:rPr>
          <w:lang w:bidi="es-US"/>
        </w:rPr>
        <w:t xml:space="preserve">Programación </w:t>
      </w:r>
    </w:p>
    <w:p w14:paraId="4C53EE79" w14:textId="368012BF" w:rsidR="294E786A" w:rsidRDefault="09D8535F" w:rsidP="00451662">
      <w:pPr>
        <w:pStyle w:val="PR2"/>
        <w:numPr>
          <w:ilvl w:val="0"/>
          <w:numId w:val="50"/>
        </w:numPr>
      </w:pPr>
      <w:r>
        <w:rPr>
          <w:lang w:bidi="es-US"/>
        </w:rPr>
        <w:t>El sistema será compatible con las siguientes características:</w:t>
      </w:r>
    </w:p>
    <w:p w14:paraId="2FA63BAB" w14:textId="72AC0619" w:rsidR="294E786A" w:rsidRDefault="04A74542" w:rsidP="00451662">
      <w:pPr>
        <w:pStyle w:val="PR3"/>
      </w:pPr>
      <w:r>
        <w:rPr>
          <w:lang w:bidi="es-US"/>
        </w:rPr>
        <w:lastRenderedPageBreak/>
        <w:t>Programación mediante un dispositivo auxiliar o a través de una interfaz ya integrada en todos los dispositivos de control o en algunos de ellos. Una vez realizada la programación, el dispositivo auxiliar de programación puede retirarse y los dispositivos de control deben recordar su programación. Del mismo modo, cuando el dispositivo auxiliar se conecta al sistema cableado programado, debe ser capaz de leer los parámetros configurados o programados del sistema.</w:t>
      </w:r>
    </w:p>
    <w:p w14:paraId="7694FE5D" w14:textId="4D1E3F38" w:rsidR="294E786A" w:rsidRDefault="56E372F9" w:rsidP="00451662">
      <w:pPr>
        <w:pStyle w:val="PR3"/>
      </w:pPr>
      <w:r>
        <w:rPr>
          <w:lang w:bidi="es-US"/>
        </w:rPr>
        <w:t xml:space="preserve">Creación, edición y supresión de los elementos del edificio, es decir, edificio, piso, áreas y zonas, grupos de ocupación y grupos de luz diurna. </w:t>
      </w:r>
    </w:p>
    <w:p w14:paraId="1B58B48D" w14:textId="44E18651" w:rsidR="294E786A" w:rsidRDefault="09D8535F" w:rsidP="00451662">
      <w:pPr>
        <w:pStyle w:val="PR3"/>
      </w:pPr>
      <w:r>
        <w:rPr>
          <w:lang w:bidi="es-US"/>
        </w:rPr>
        <w:t xml:space="preserve">Descubrimiento de los dispositivos de control. </w:t>
      </w:r>
    </w:p>
    <w:p w14:paraId="47D0EE2E" w14:textId="59494578" w:rsidR="294E786A" w:rsidRDefault="1088DE55" w:rsidP="00451662">
      <w:pPr>
        <w:pStyle w:val="PR3"/>
      </w:pPr>
      <w:r>
        <w:rPr>
          <w:lang w:bidi="es-US"/>
        </w:rPr>
        <w:t xml:space="preserve">Identificación intermitente de los dispositivos de control, mediante el parpadeo de los dispositivos de control o de los dispositivos conectados a ellos. </w:t>
      </w:r>
    </w:p>
    <w:p w14:paraId="5341DAEC" w14:textId="739BFBEC" w:rsidR="294E786A" w:rsidRDefault="09D8535F" w:rsidP="00451662">
      <w:pPr>
        <w:pStyle w:val="PR3"/>
      </w:pPr>
      <w:r>
        <w:rPr>
          <w:lang w:bidi="es-US"/>
        </w:rPr>
        <w:t>Posibilidad de añadir uno o varios dispositivos a un área definida.</w:t>
      </w:r>
    </w:p>
    <w:p w14:paraId="5B61041D" w14:textId="10985BF1" w:rsidR="294E786A" w:rsidRDefault="472711BD" w:rsidP="00451662">
      <w:pPr>
        <w:pStyle w:val="PR3"/>
      </w:pPr>
      <w:r>
        <w:rPr>
          <w:lang w:bidi="es-US"/>
        </w:rPr>
        <w:t>Configuración de zonas de interruptores, sensores de ocupación y fotosensores.</w:t>
      </w:r>
    </w:p>
    <w:p w14:paraId="55F699F9" w14:textId="1D249355" w:rsidR="294E786A" w:rsidRDefault="5C165CE3" w:rsidP="00451662">
      <w:pPr>
        <w:pStyle w:val="PR3"/>
      </w:pPr>
      <w:r>
        <w:rPr>
          <w:lang w:bidi="es-US"/>
        </w:rPr>
        <w:t>Definición de los niveles de gama alta y baja.</w:t>
      </w:r>
    </w:p>
    <w:p w14:paraId="4B2E3425" w14:textId="69E6F83B" w:rsidR="294E786A" w:rsidRDefault="47935C2C" w:rsidP="00451662">
      <w:pPr>
        <w:pStyle w:val="PR3"/>
      </w:pPr>
      <w:r>
        <w:rPr>
          <w:lang w:bidi="es-US"/>
        </w:rPr>
        <w:t>Posibilidad de ajustar el tiempo de espera de un sensor de ocupación y la sensibilidad del infrarrojo pasivo (PIR).</w:t>
      </w:r>
    </w:p>
    <w:p w14:paraId="208C47AC" w14:textId="2A9EC182" w:rsidR="294E786A" w:rsidRDefault="5C165CE3" w:rsidP="00451662">
      <w:pPr>
        <w:pStyle w:val="PR3"/>
      </w:pPr>
      <w:r>
        <w:rPr>
          <w:lang w:bidi="es-US"/>
        </w:rPr>
        <w:t>Posibilidad de definir el modo de ocupación del sensor (ocupación o desocupación).</w:t>
      </w:r>
    </w:p>
    <w:p w14:paraId="545B6A7C" w14:textId="34B1FCD9" w:rsidR="294E786A" w:rsidRDefault="267322E1" w:rsidP="00451662">
      <w:pPr>
        <w:pStyle w:val="PR3"/>
      </w:pPr>
      <w:r>
        <w:rPr>
          <w:lang w:bidi="es-US"/>
        </w:rPr>
        <w:t>Posibilidad de activar o desactivar un sensor o un grupo de sensores de ocupación.</w:t>
      </w:r>
    </w:p>
    <w:p w14:paraId="47FDB695" w14:textId="217E36C5" w:rsidR="294E786A" w:rsidRDefault="47935C2C" w:rsidP="00451662">
      <w:pPr>
        <w:pStyle w:val="PR3"/>
      </w:pPr>
      <w:r>
        <w:rPr>
          <w:lang w:bidi="es-US"/>
        </w:rPr>
        <w:t>Posibilidad de activar o desactivar un sensor o un grupo de sensores de luz diurna.</w:t>
      </w:r>
    </w:p>
    <w:p w14:paraId="7C0CD54F" w14:textId="1AECB952" w:rsidR="294E786A" w:rsidRDefault="28AD43FF" w:rsidP="00451662">
      <w:pPr>
        <w:pStyle w:val="PR3"/>
      </w:pPr>
      <w:r>
        <w:rPr>
          <w:lang w:bidi="es-US"/>
        </w:rPr>
        <w:t>Posibilidad de ajustar los puntos de configuración de las fotocélulas y los tiempos de retardo de transición.</w:t>
      </w:r>
    </w:p>
    <w:p w14:paraId="03462B78" w14:textId="5F3A6AC7" w:rsidR="294E786A" w:rsidRDefault="551A8ADA" w:rsidP="00451662">
      <w:pPr>
        <w:pStyle w:val="PR3"/>
      </w:pPr>
      <w:r>
        <w:rPr>
          <w:lang w:bidi="es-US"/>
        </w:rPr>
        <w:t>Posibilidad de calibrar la fotocélula y el punto de configuración automático.</w:t>
      </w:r>
    </w:p>
    <w:p w14:paraId="1C858678" w14:textId="2A641EA6" w:rsidR="294E786A" w:rsidRDefault="76A6064E" w:rsidP="00451662">
      <w:pPr>
        <w:pStyle w:val="PR3"/>
      </w:pPr>
      <w:r>
        <w:rPr>
          <w:lang w:bidi="es-US"/>
        </w:rPr>
        <w:t>Definición de los valores de respuesta a la demanda para cada área.</w:t>
      </w:r>
    </w:p>
    <w:p w14:paraId="1441C952" w14:textId="6B13D37D" w:rsidR="294E786A" w:rsidRDefault="09D8535F" w:rsidP="00451662">
      <w:pPr>
        <w:pStyle w:val="PR3"/>
      </w:pPr>
      <w:r>
        <w:rPr>
          <w:lang w:bidi="es-US"/>
        </w:rPr>
        <w:t>Definición de los valores de escena para cada área.</w:t>
      </w:r>
    </w:p>
    <w:p w14:paraId="46B5F35F" w14:textId="20C84C6E" w:rsidR="294E786A" w:rsidRDefault="09D8535F" w:rsidP="00451662">
      <w:pPr>
        <w:pStyle w:val="PR3"/>
      </w:pPr>
      <w:r>
        <w:rPr>
          <w:lang w:bidi="es-US"/>
        </w:rPr>
        <w:t xml:space="preserve">Definición de eventos temporales para encender o apagar las luces de una o de varias áreas. </w:t>
      </w:r>
    </w:p>
    <w:p w14:paraId="100F0499" w14:textId="50C31674" w:rsidR="294E786A" w:rsidRDefault="22E2A12D" w:rsidP="00451662">
      <w:pPr>
        <w:pStyle w:val="PR3"/>
      </w:pPr>
      <w:r>
        <w:rPr>
          <w:lang w:bidi="es-US"/>
        </w:rPr>
        <w:t>El sistema mostrará en directo el estado de los dispositivos de control y de las luminarias conectadas:</w:t>
      </w:r>
    </w:p>
    <w:p w14:paraId="6BCD405D" w14:textId="39C2A2EB" w:rsidR="294E786A" w:rsidRDefault="22E2A12D" w:rsidP="00451662">
      <w:pPr>
        <w:pStyle w:val="PR4"/>
        <w:numPr>
          <w:ilvl w:val="7"/>
          <w:numId w:val="233"/>
        </w:numPr>
      </w:pPr>
      <w:r>
        <w:rPr>
          <w:lang w:bidi="es-US"/>
        </w:rPr>
        <w:t>estado de encendido/apagado de la luminaria;</w:t>
      </w:r>
    </w:p>
    <w:p w14:paraId="49826DA0" w14:textId="684A156D" w:rsidR="294E786A" w:rsidRDefault="22E2A12D" w:rsidP="00451662">
      <w:pPr>
        <w:pStyle w:val="PR4"/>
      </w:pPr>
      <w:r>
        <w:rPr>
          <w:lang w:bidi="es-US"/>
        </w:rPr>
        <w:t>nivel de atenuación;</w:t>
      </w:r>
    </w:p>
    <w:p w14:paraId="02BD6C0A" w14:textId="77777777" w:rsidR="294E786A" w:rsidRDefault="22E2A12D" w:rsidP="00451662">
      <w:pPr>
        <w:pStyle w:val="PR4"/>
      </w:pPr>
      <w:r>
        <w:rPr>
          <w:lang w:bidi="es-US"/>
        </w:rPr>
        <w:t>estado del sensor de ocupación;</w:t>
      </w:r>
    </w:p>
    <w:p w14:paraId="2D92E0AD" w14:textId="77777777" w:rsidR="294E786A" w:rsidRDefault="22E2A12D" w:rsidP="00451662">
      <w:pPr>
        <w:pStyle w:val="PR4"/>
      </w:pPr>
      <w:r>
        <w:rPr>
          <w:lang w:bidi="es-US"/>
        </w:rPr>
        <w:t>lectura del fotosensor;</w:t>
      </w:r>
    </w:p>
    <w:p w14:paraId="5EC80563" w14:textId="2ED3AD59" w:rsidR="00BA6A89" w:rsidRPr="00F97F17" w:rsidRDefault="22E2A12D" w:rsidP="00451662">
      <w:pPr>
        <w:pStyle w:val="PR4"/>
      </w:pPr>
      <w:r>
        <w:rPr>
          <w:lang w:bidi="es-US"/>
        </w:rPr>
        <w:t>estado de salud del dispositivo.</w:t>
      </w:r>
    </w:p>
    <w:p w14:paraId="3A63AC95" w14:textId="5C5B450D" w:rsidR="00BA6A89" w:rsidRPr="00F97F17" w:rsidRDefault="2BA29AD4" w:rsidP="00451662">
      <w:pPr>
        <w:pStyle w:val="PR3"/>
      </w:pPr>
      <w:r>
        <w:rPr>
          <w:lang w:bidi="es-US"/>
        </w:rPr>
        <w:t>El sistema permitirá que los usuarios identifiquen con facilidad los dispositivos utilizando sus atributos:</w:t>
      </w:r>
    </w:p>
    <w:p w14:paraId="4FE03DAA" w14:textId="6A6BB95D" w:rsidR="00BA6A89" w:rsidRPr="00F97F17" w:rsidRDefault="2BA29AD4" w:rsidP="00451662">
      <w:pPr>
        <w:pStyle w:val="PR4"/>
        <w:numPr>
          <w:ilvl w:val="7"/>
          <w:numId w:val="51"/>
        </w:numPr>
      </w:pPr>
      <w:r>
        <w:rPr>
          <w:lang w:bidi="es-US"/>
        </w:rPr>
        <w:t>tipo de dispositivo;</w:t>
      </w:r>
    </w:p>
    <w:p w14:paraId="3644E642" w14:textId="1E1C20B0" w:rsidR="00BA6A89" w:rsidRPr="00F97F17" w:rsidRDefault="2BA29AD4" w:rsidP="00451662">
      <w:pPr>
        <w:pStyle w:val="PR4"/>
      </w:pPr>
      <w:r>
        <w:rPr>
          <w:lang w:bidi="es-US"/>
        </w:rPr>
        <w:t>descripción del dispositivo;</w:t>
      </w:r>
    </w:p>
    <w:p w14:paraId="2ACC5B3C" w14:textId="4BCD1BB8" w:rsidR="00BA6A89" w:rsidRPr="00F97F17" w:rsidRDefault="2BA29AD4" w:rsidP="00451662">
      <w:pPr>
        <w:pStyle w:val="PR4"/>
      </w:pPr>
      <w:r>
        <w:rPr>
          <w:lang w:bidi="es-US"/>
        </w:rPr>
        <w:t>descripción del modelo;</w:t>
      </w:r>
    </w:p>
    <w:p w14:paraId="6E0D8E63" w14:textId="10AF8978" w:rsidR="00BA6A89" w:rsidRPr="00F97F17" w:rsidRDefault="2BA29AD4" w:rsidP="00451662">
      <w:pPr>
        <w:pStyle w:val="PR4"/>
      </w:pPr>
      <w:r>
        <w:rPr>
          <w:lang w:bidi="es-US"/>
        </w:rPr>
        <w:t>número de serie o ID de red;</w:t>
      </w:r>
    </w:p>
    <w:p w14:paraId="200769D8" w14:textId="42AA1C40" w:rsidR="00BA6A89" w:rsidRPr="00F97F17" w:rsidRDefault="2BA29AD4" w:rsidP="00451662">
      <w:pPr>
        <w:pStyle w:val="PR4"/>
      </w:pPr>
      <w:r>
        <w:rPr>
          <w:lang w:bidi="es-US"/>
        </w:rPr>
        <w:t>nombre del dispositivo editable.</w:t>
      </w:r>
    </w:p>
    <w:p w14:paraId="30DB0DA6" w14:textId="2E83EDFF" w:rsidR="00253A64" w:rsidRDefault="73567DE6" w:rsidP="006868A5">
      <w:pPr>
        <w:pStyle w:val="PR1"/>
        <w:numPr>
          <w:ilvl w:val="0"/>
          <w:numId w:val="24"/>
        </w:numPr>
      </w:pPr>
      <w:r>
        <w:rPr>
          <w:lang w:bidi="es-US"/>
        </w:rPr>
        <w:t>Gestión de la iluminación</w:t>
      </w:r>
    </w:p>
    <w:p w14:paraId="4AD37C9C" w14:textId="61104956" w:rsidR="00253A64" w:rsidRDefault="7E173C6F" w:rsidP="00451662">
      <w:pPr>
        <w:pStyle w:val="PR2"/>
        <w:numPr>
          <w:ilvl w:val="0"/>
          <w:numId w:val="52"/>
        </w:numPr>
      </w:pPr>
      <w:r>
        <w:rPr>
          <w:lang w:bidi="es-US"/>
        </w:rPr>
        <w:t>El sistema permitirá que los usuarios supervisen y controlen las luces:</w:t>
      </w:r>
    </w:p>
    <w:p w14:paraId="648DD5BE" w14:textId="784D021B" w:rsidR="00253A64" w:rsidRPr="00451662" w:rsidRDefault="7E173C6F" w:rsidP="00451662">
      <w:pPr>
        <w:pStyle w:val="PR3"/>
        <w:numPr>
          <w:ilvl w:val="4"/>
          <w:numId w:val="53"/>
        </w:numPr>
        <w:rPr>
          <w:b/>
        </w:rPr>
      </w:pPr>
      <w:r>
        <w:rPr>
          <w:lang w:bidi="es-US"/>
        </w:rPr>
        <w:t>Se puede controlar el estado de encendido y apagado de las luces del área.</w:t>
      </w:r>
    </w:p>
    <w:p w14:paraId="35F2F3D0" w14:textId="6278636E" w:rsidR="00253A64" w:rsidRDefault="7E173C6F" w:rsidP="00451662">
      <w:pPr>
        <w:pStyle w:val="PR3"/>
        <w:rPr>
          <w:b/>
        </w:rPr>
      </w:pPr>
      <w:r>
        <w:rPr>
          <w:lang w:bidi="es-US"/>
        </w:rPr>
        <w:t>Las luces del área pueden modificarse según una escena predefinida o un nivel de luz definido.</w:t>
      </w:r>
    </w:p>
    <w:p w14:paraId="0BC93CFE" w14:textId="2E1ACCD0" w:rsidR="00253A64" w:rsidRDefault="7E173C6F" w:rsidP="00451662">
      <w:pPr>
        <w:pStyle w:val="PR3"/>
        <w:rPr>
          <w:b/>
        </w:rPr>
      </w:pPr>
      <w:r w:rsidRPr="5B5CE439">
        <w:rPr>
          <w:lang w:bidi="es-US"/>
        </w:rPr>
        <w:t>Las luces de la zona pueden controlarse para corroborar si están encendidas o apagadas.</w:t>
      </w:r>
    </w:p>
    <w:p w14:paraId="091F5467" w14:textId="02B0A70B" w:rsidR="00253A64" w:rsidRDefault="7E173C6F" w:rsidP="00451662">
      <w:pPr>
        <w:pStyle w:val="PR3"/>
        <w:rPr>
          <w:b/>
        </w:rPr>
      </w:pPr>
      <w:r w:rsidRPr="5B5CE439">
        <w:rPr>
          <w:lang w:bidi="es-US"/>
        </w:rPr>
        <w:t>Las luces de la zona pueden modificarse para definir el nivel de luz.</w:t>
      </w:r>
    </w:p>
    <w:p w14:paraId="290FE2FD" w14:textId="73ECB856" w:rsidR="00253A64" w:rsidRDefault="7E173C6F" w:rsidP="00451662">
      <w:pPr>
        <w:pStyle w:val="PR3"/>
        <w:rPr>
          <w:b/>
        </w:rPr>
      </w:pPr>
      <w:r w:rsidRPr="5B5CE439">
        <w:rPr>
          <w:lang w:bidi="es-US"/>
        </w:rPr>
        <w:t xml:space="preserve">Puede supervisarse el estado de conexión o desconexión de cada dispositivo de control. </w:t>
      </w:r>
    </w:p>
    <w:p w14:paraId="0D483932" w14:textId="7D79714C" w:rsidR="00253A64" w:rsidRDefault="7E173C6F" w:rsidP="00451662">
      <w:pPr>
        <w:pStyle w:val="PR3"/>
        <w:rPr>
          <w:b/>
        </w:rPr>
      </w:pPr>
      <w:r w:rsidRPr="5B5CE439">
        <w:rPr>
          <w:lang w:bidi="es-US"/>
        </w:rPr>
        <w:t>Cada dispositivo de control puede modificarse para definir los niveles de luz o el estado de encendido o apagado.</w:t>
      </w:r>
    </w:p>
    <w:p w14:paraId="63DCAFA9" w14:textId="560D9F27" w:rsidR="00253A64" w:rsidRDefault="0CEEFF3B" w:rsidP="00451662">
      <w:pPr>
        <w:pStyle w:val="PR2"/>
        <w:rPr>
          <w:rFonts w:eastAsia="Arial" w:cs="Arial"/>
        </w:rPr>
      </w:pPr>
      <w:r>
        <w:rPr>
          <w:lang w:bidi="es-US"/>
        </w:rPr>
        <w:t>Cuando se utilicen dispositivos de red de nivel superior, el sistema ofrecerá un plano gráfico:</w:t>
      </w:r>
    </w:p>
    <w:p w14:paraId="2F2C797A" w14:textId="455C49E8" w:rsidR="00491043" w:rsidRPr="00F97F17" w:rsidRDefault="4B6A5AE2" w:rsidP="00451662">
      <w:pPr>
        <w:pStyle w:val="PR3"/>
        <w:numPr>
          <w:ilvl w:val="4"/>
          <w:numId w:val="54"/>
        </w:numPr>
      </w:pPr>
      <w:r>
        <w:rPr>
          <w:lang w:bidi="es-US"/>
        </w:rPr>
        <w:lastRenderedPageBreak/>
        <w:t>El usuario deberá crear un plano para cada piso del edificio con áreas, zonas y dispositivos. No se requieren servicios adicionales de los fabricantes para crear y gestionar el plano.</w:t>
      </w:r>
    </w:p>
    <w:p w14:paraId="52508AC0" w14:textId="00700A2D" w:rsidR="00491043" w:rsidRPr="00F97F17" w:rsidRDefault="7E173C6F" w:rsidP="00451662">
      <w:pPr>
        <w:pStyle w:val="PR3"/>
      </w:pPr>
      <w:r>
        <w:rPr>
          <w:lang w:bidi="es-US"/>
        </w:rPr>
        <w:t>El plano ofrecerá las siguientes características:</w:t>
      </w:r>
    </w:p>
    <w:p w14:paraId="76E7CACD" w14:textId="77777777" w:rsidR="00491043" w:rsidRPr="00F97F17" w:rsidRDefault="00491043" w:rsidP="00451662">
      <w:pPr>
        <w:pStyle w:val="PR4"/>
        <w:numPr>
          <w:ilvl w:val="7"/>
          <w:numId w:val="55"/>
        </w:numPr>
      </w:pPr>
      <w:r w:rsidRPr="00F97F17">
        <w:rPr>
          <w:lang w:bidi="es-US"/>
        </w:rPr>
        <w:t>Los comandos de desplazamiento y de ampliación o disminución de la vista permiten visualizar áreas más pequeñas a mayor escala simplemente desplazando y ampliando el gráfico maestro de cada piso.</w:t>
      </w:r>
    </w:p>
    <w:p w14:paraId="355C1F9F" w14:textId="225DA39E" w:rsidR="00491043" w:rsidRPr="00F97F17" w:rsidRDefault="00CB2D20" w:rsidP="00451662">
      <w:pPr>
        <w:pStyle w:val="PR4"/>
      </w:pPr>
      <w:r>
        <w:rPr>
          <w:lang w:bidi="es-US"/>
        </w:rPr>
        <w:t>Al seleccionar un área/zona o un dispositivo en el plano de piso, el sistema mostrará una pantalla de propiedades que les permitirá que los usuarios supervisen el elemento seleccionado y realicen acciones específicas:</w:t>
      </w:r>
    </w:p>
    <w:p w14:paraId="2A35E810" w14:textId="674E0AC4" w:rsidR="00491043" w:rsidRDefault="00491043" w:rsidP="00646F4A">
      <w:pPr>
        <w:pStyle w:val="PR5"/>
      </w:pPr>
      <w:r w:rsidRPr="00F97F17">
        <w:rPr>
          <w:lang w:bidi="es-US"/>
        </w:rPr>
        <w:fldChar w:fldCharType="begin"/>
      </w:r>
      <w:r w:rsidRPr="00F97F17">
        <w:rPr>
          <w:lang w:bidi="es-US"/>
        </w:rPr>
        <w:instrText>COMMENTS  {nLVi}  \* MERGEFORMAT</w:instrText>
      </w:r>
      <w:r w:rsidRPr="00F97F17">
        <w:rPr>
          <w:lang w:bidi="es-US"/>
        </w:rPr>
        <w:fldChar w:fldCharType="end"/>
      </w:r>
      <w:r w:rsidR="00D33951">
        <w:rPr>
          <w:lang w:bidi="es-US"/>
        </w:rPr>
        <w:t>nombre del elemento;</w:t>
      </w:r>
    </w:p>
    <w:p w14:paraId="6FC942FB" w14:textId="3B8285D3" w:rsidR="00D33951" w:rsidRDefault="00D33951" w:rsidP="00646F4A">
      <w:pPr>
        <w:pStyle w:val="PR5"/>
      </w:pPr>
      <w:r>
        <w:rPr>
          <w:lang w:bidi="es-US"/>
        </w:rPr>
        <w:t>alarmas totales;</w:t>
      </w:r>
    </w:p>
    <w:p w14:paraId="6A5CC0DA" w14:textId="546DDAF9" w:rsidR="00655866" w:rsidRPr="00F97F17" w:rsidRDefault="00655866" w:rsidP="00646F4A">
      <w:pPr>
        <w:pStyle w:val="PR5"/>
      </w:pPr>
      <w:r>
        <w:rPr>
          <w:lang w:bidi="es-US"/>
        </w:rPr>
        <w:t>nivel de luz actual (escena o nivel de luz);</w:t>
      </w:r>
    </w:p>
    <w:p w14:paraId="7114645C" w14:textId="6E06D378" w:rsidR="00491043" w:rsidRPr="00F97F17" w:rsidRDefault="00D33951" w:rsidP="00646F4A">
      <w:pPr>
        <w:pStyle w:val="PR5"/>
      </w:pPr>
      <w:r>
        <w:rPr>
          <w:lang w:bidi="es-US"/>
        </w:rPr>
        <w:t>acciones manuales, incluida la anulación manual;</w:t>
      </w:r>
    </w:p>
    <w:p w14:paraId="365B0041" w14:textId="77777777" w:rsidR="00491043" w:rsidRPr="00F97F17" w:rsidRDefault="7E173C6F" w:rsidP="00646F4A">
      <w:pPr>
        <w:pStyle w:val="PR5"/>
      </w:pPr>
      <w:r>
        <w:rPr>
          <w:lang w:bidi="es-US"/>
        </w:rPr>
        <w:t>información de diagnóstico del dispositivo.</w:t>
      </w:r>
    </w:p>
    <w:p w14:paraId="36656FB7" w14:textId="31028F3D" w:rsidR="00511749" w:rsidRDefault="01876A35" w:rsidP="006868A5">
      <w:pPr>
        <w:pStyle w:val="PR1"/>
        <w:numPr>
          <w:ilvl w:val="0"/>
          <w:numId w:val="24"/>
        </w:numPr>
      </w:pPr>
      <w:r>
        <w:rPr>
          <w:lang w:bidi="es-US"/>
        </w:rPr>
        <w:t>Gestión de alarmas y eventos</w:t>
      </w:r>
    </w:p>
    <w:p w14:paraId="561E31B2" w14:textId="5680541B" w:rsidR="00511749" w:rsidRDefault="4EF28914" w:rsidP="00451662">
      <w:pPr>
        <w:pStyle w:val="PR2"/>
        <w:numPr>
          <w:ilvl w:val="0"/>
          <w:numId w:val="56"/>
        </w:numPr>
      </w:pPr>
      <w:r>
        <w:rPr>
          <w:lang w:bidi="es-US"/>
        </w:rPr>
        <w:t>El sistema mostrará la falla del sistema casi en tiempo real. Las fallas del sistema incluyen la pérdida de comunicación y las alarmas de batería baja para los dispositivos alimentados por batería (unidades de pared inalámbricas y sensores de techo inalámbricos).</w:t>
      </w:r>
    </w:p>
    <w:p w14:paraId="296F2BB4" w14:textId="5A2B9063" w:rsidR="00511749" w:rsidRDefault="15520CBD" w:rsidP="00451662">
      <w:pPr>
        <w:pStyle w:val="PR2"/>
      </w:pPr>
      <w:r>
        <w:rPr>
          <w:lang w:bidi="es-US"/>
        </w:rPr>
        <w:t>Cuando se utilizan interfaces de red de nivel superior, como el concentrador de área y el controlador de área:</w:t>
      </w:r>
    </w:p>
    <w:p w14:paraId="287E7D41" w14:textId="6CB7B378" w:rsidR="00511749" w:rsidRDefault="4EF28914" w:rsidP="00451662">
      <w:pPr>
        <w:pStyle w:val="PR2"/>
      </w:pPr>
      <w:r>
        <w:rPr>
          <w:lang w:bidi="es-US"/>
        </w:rPr>
        <w:t>El sistema permitirá que los usuarios vean las fallas actuales y pasadas del sistema para conocer mejor su estado.</w:t>
      </w:r>
    </w:p>
    <w:p w14:paraId="303E727D" w14:textId="14D3E540" w:rsidR="00511749" w:rsidRDefault="4EF28914" w:rsidP="00451662">
      <w:pPr>
        <w:pStyle w:val="PR2"/>
      </w:pPr>
      <w:r>
        <w:rPr>
          <w:lang w:bidi="es-US"/>
        </w:rPr>
        <w:t>El sistema ofrecerá consejos contextuales para la resolución de problemas para cada alarma.</w:t>
      </w:r>
    </w:p>
    <w:p w14:paraId="059DD173" w14:textId="3CC1BBB8" w:rsidR="00511749" w:rsidRDefault="2DCA580B" w:rsidP="00451662">
      <w:pPr>
        <w:pStyle w:val="PR2"/>
      </w:pPr>
      <w:r>
        <w:rPr>
          <w:lang w:bidi="es-US"/>
        </w:rPr>
        <w:t>El sistema ofrecerá un localizador de pisos para cada alarma. Cuando se seleccione, el sistema iniciará de forma automática el plano de piso y ampliará el dispositivo seleccionado.</w:t>
      </w:r>
    </w:p>
    <w:p w14:paraId="6474895E" w14:textId="2063BD7F" w:rsidR="00511749" w:rsidRDefault="4EF28914" w:rsidP="00451662">
      <w:pPr>
        <w:pStyle w:val="PR2"/>
      </w:pPr>
      <w:r>
        <w:rPr>
          <w:lang w:bidi="es-US"/>
        </w:rPr>
        <w:t>El sistema enviará notificaciones por correo electrónico a los usuarios suscritos para cada falla. El usuario proporcionará la información del servidor de protocolo simple de transferencia de correo (SMTP) para permitir que la aplicación de software de supervisión envíe notificaciones por correo electrónico.</w:t>
      </w:r>
    </w:p>
    <w:p w14:paraId="08A5FBAD" w14:textId="7EF2CA23" w:rsidR="00511749" w:rsidRDefault="2BA29AD4" w:rsidP="006868A5">
      <w:pPr>
        <w:pStyle w:val="PR1"/>
        <w:numPr>
          <w:ilvl w:val="0"/>
          <w:numId w:val="24"/>
        </w:numPr>
      </w:pPr>
      <w:r>
        <w:rPr>
          <w:lang w:bidi="es-US"/>
        </w:rPr>
        <w:t>Gestión de usuarios</w:t>
      </w:r>
    </w:p>
    <w:p w14:paraId="504EDA30" w14:textId="5E183FE8" w:rsidR="00511749" w:rsidRDefault="37E04D2B" w:rsidP="00451662">
      <w:pPr>
        <w:pStyle w:val="PR2"/>
        <w:numPr>
          <w:ilvl w:val="0"/>
          <w:numId w:val="57"/>
        </w:numPr>
      </w:pPr>
      <w:r>
        <w:rPr>
          <w:lang w:bidi="es-US"/>
        </w:rPr>
        <w:t xml:space="preserve">El sistema incluirá un módulo de gestión de usuarios que les permitirá: </w:t>
      </w:r>
    </w:p>
    <w:p w14:paraId="0532CB20" w14:textId="5932557E" w:rsidR="00511749" w:rsidRDefault="37E04D2B" w:rsidP="00451662">
      <w:pPr>
        <w:pStyle w:val="PR3"/>
        <w:numPr>
          <w:ilvl w:val="4"/>
          <w:numId w:val="58"/>
        </w:numPr>
      </w:pPr>
      <w:r>
        <w:rPr>
          <w:lang w:bidi="es-US"/>
        </w:rPr>
        <w:t>crear cuentas de usuario;</w:t>
      </w:r>
    </w:p>
    <w:p w14:paraId="2C37CA36" w14:textId="65082577" w:rsidR="00511749" w:rsidRDefault="37E04D2B" w:rsidP="00451662">
      <w:pPr>
        <w:pStyle w:val="PR3"/>
      </w:pPr>
      <w:r>
        <w:rPr>
          <w:lang w:bidi="es-US"/>
        </w:rPr>
        <w:t>asignar la cuenta de usuario a un rol específico;</w:t>
      </w:r>
    </w:p>
    <w:p w14:paraId="0C2B6C87" w14:textId="5CB356DB" w:rsidR="00511749" w:rsidRDefault="37E04D2B" w:rsidP="00451662">
      <w:pPr>
        <w:pStyle w:val="PR3"/>
      </w:pPr>
      <w:r>
        <w:rPr>
          <w:lang w:bidi="es-US"/>
        </w:rPr>
        <w:t>crear funciones personalizadas basadas en permisos predeterminados;</w:t>
      </w:r>
    </w:p>
    <w:p w14:paraId="5DCECE1F" w14:textId="6B8BF008" w:rsidR="00511749" w:rsidRDefault="391D64D3" w:rsidP="00451662">
      <w:pPr>
        <w:pStyle w:val="PR3"/>
      </w:pPr>
      <w:r>
        <w:rPr>
          <w:lang w:bidi="es-US"/>
        </w:rPr>
        <w:t>restringir el acceso de las cuentas de usuario a áreas específicas del sistema.</w:t>
      </w:r>
    </w:p>
    <w:p w14:paraId="262F0306" w14:textId="2DC4F089" w:rsidR="00511749" w:rsidRDefault="5B143AC6" w:rsidP="006868A5">
      <w:pPr>
        <w:pStyle w:val="PR1"/>
        <w:numPr>
          <w:ilvl w:val="0"/>
          <w:numId w:val="24"/>
        </w:numPr>
      </w:pPr>
      <w:r>
        <w:rPr>
          <w:lang w:bidi="es-US"/>
        </w:rPr>
        <w:t>Análisis e informes sobre la energía del sistema</w:t>
      </w:r>
    </w:p>
    <w:p w14:paraId="0B34879E" w14:textId="330A629C" w:rsidR="00511749" w:rsidRDefault="7EDBD69E" w:rsidP="00451662">
      <w:pPr>
        <w:pStyle w:val="PR2"/>
        <w:numPr>
          <w:ilvl w:val="0"/>
          <w:numId w:val="59"/>
        </w:numPr>
      </w:pPr>
      <w:r>
        <w:rPr>
          <w:lang w:bidi="es-US"/>
        </w:rPr>
        <w:t>Cuando se utilizan dispositivos de red de nivel superior, como un concentrador de área y un controlador de área:</w:t>
      </w:r>
    </w:p>
    <w:p w14:paraId="515F776C" w14:textId="4EA871BB" w:rsidR="00511749" w:rsidRDefault="46279924" w:rsidP="00451662">
      <w:pPr>
        <w:pStyle w:val="PR3"/>
        <w:numPr>
          <w:ilvl w:val="4"/>
          <w:numId w:val="60"/>
        </w:numPr>
      </w:pPr>
      <w:r>
        <w:rPr>
          <w:lang w:bidi="es-US"/>
        </w:rPr>
        <w:t>El sistema ofrecerá una interfaz gráfica intuitiva que permita al propietario del edificio ver el consumo de energía de los edificios controlados por el sistema.</w:t>
      </w:r>
    </w:p>
    <w:p w14:paraId="56753C6E" w14:textId="0CB9AD8E" w:rsidR="00511749" w:rsidRDefault="46279924" w:rsidP="00451662">
      <w:pPr>
        <w:pStyle w:val="PR3"/>
      </w:pPr>
      <w:r>
        <w:rPr>
          <w:lang w:bidi="es-US"/>
        </w:rPr>
        <w:t>La interfaz permitirá que los usuarios analicen los datos en función de la jerarquía del edificio; es decir, edificio, pisos, áreas y zonas; así como del tipo de fuente, es decir, iluminación o receptáculos.</w:t>
      </w:r>
    </w:p>
    <w:p w14:paraId="6A9C2BC3" w14:textId="77777777" w:rsidR="00511749" w:rsidRDefault="46279924" w:rsidP="00451662">
      <w:pPr>
        <w:pStyle w:val="PR3"/>
      </w:pPr>
      <w:r>
        <w:rPr>
          <w:lang w:bidi="es-US"/>
        </w:rPr>
        <w:t>El sistema recopilará datos sobre el consumo de energía durante 13 meses consecutivos.</w:t>
      </w:r>
    </w:p>
    <w:p w14:paraId="0447D5F3" w14:textId="47ACD9C5" w:rsidR="00511749" w:rsidRDefault="46279924" w:rsidP="00451662">
      <w:pPr>
        <w:pStyle w:val="PR3"/>
      </w:pPr>
      <w:r>
        <w:rPr>
          <w:lang w:bidi="es-US"/>
        </w:rPr>
        <w:t>El sistema permitirá que los usuarios seleccionen el período de uso de la energía, es decir, las últimas 24 horas, los últimos 7 días, los últimos 30 días, los últimos 3 meses o los últimos 12 meses.</w:t>
      </w:r>
    </w:p>
    <w:p w14:paraId="52E7734A" w14:textId="13485E77" w:rsidR="00511749" w:rsidRDefault="46279924" w:rsidP="00451662">
      <w:pPr>
        <w:pStyle w:val="PR3"/>
      </w:pPr>
      <w:r>
        <w:rPr>
          <w:lang w:bidi="es-US"/>
        </w:rPr>
        <w:lastRenderedPageBreak/>
        <w:t>El sistema proporcionará el ahorro de energía generado por el sistema de iluminación en kWh para el período seleccionado.</w:t>
      </w:r>
    </w:p>
    <w:p w14:paraId="63B48FF9" w14:textId="62807C9F" w:rsidR="00247722" w:rsidRPr="002F0466" w:rsidRDefault="2AC257DE" w:rsidP="00451662">
      <w:pPr>
        <w:pStyle w:val="PR3"/>
      </w:pPr>
      <w:r>
        <w:rPr>
          <w:lang w:bidi="es-US"/>
        </w:rPr>
        <w:t>El sistema permitirá que los usuarios exporten el informe en formato PDF o Excel.</w:t>
      </w:r>
    </w:p>
    <w:p w14:paraId="23406639" w14:textId="0EE14BF0" w:rsidR="009D7BA3" w:rsidRPr="005A6F5A" w:rsidRDefault="009D7BA3" w:rsidP="005A6F5A">
      <w:pPr>
        <w:pStyle w:val="Heading2"/>
      </w:pPr>
      <w:r w:rsidRPr="005A6F5A">
        <w:rPr>
          <w:lang w:bidi="es-US"/>
        </w:rPr>
        <w:t>CIBERSEGURIDAD</w:t>
      </w:r>
    </w:p>
    <w:p w14:paraId="4B1DAF7F" w14:textId="27829BF4" w:rsidR="00247722" w:rsidRPr="002F0466" w:rsidRDefault="29865EAF" w:rsidP="006868A5">
      <w:pPr>
        <w:pStyle w:val="PR1"/>
        <w:numPr>
          <w:ilvl w:val="0"/>
          <w:numId w:val="61"/>
        </w:numPr>
      </w:pPr>
      <w:r>
        <w:rPr>
          <w:lang w:bidi="es-US"/>
        </w:rPr>
        <w:t xml:space="preserve">Los productos conectables a la red IP dentro del sistema de control de iluminación en red, inalámbrico e híbrido pueden cumplir la norma de ciberseguridad IEC 62443-4-2. Se proporcionará una carta de conformidad de un laboratorio de certificación autorizado por la Comisión Electrónica Internacional (IEC) para todos los productos conectables </w:t>
      </w:r>
      <w:r w:rsidR="00350142" w:rsidRPr="00350142">
        <w:rPr>
          <w:lang w:bidi="es-US"/>
        </w:rPr>
        <w:t>mediante IP</w:t>
      </w:r>
      <w:r>
        <w:rPr>
          <w:lang w:bidi="es-US"/>
        </w:rPr>
        <w:t xml:space="preserve">. No se aceptará la </w:t>
      </w:r>
      <w:proofErr w:type="spellStart"/>
      <w:r>
        <w:rPr>
          <w:lang w:bidi="es-US"/>
        </w:rPr>
        <w:t>autocertificación</w:t>
      </w:r>
      <w:proofErr w:type="spellEnd"/>
      <w:r>
        <w:rPr>
          <w:lang w:bidi="es-US"/>
        </w:rPr>
        <w:t xml:space="preserve"> conforme a la norma. </w:t>
      </w:r>
    </w:p>
    <w:p w14:paraId="545BD596" w14:textId="4E31791B" w:rsidR="00247722" w:rsidRPr="002F0466" w:rsidRDefault="1210CF08" w:rsidP="006868A5">
      <w:pPr>
        <w:pStyle w:val="PR1"/>
        <w:numPr>
          <w:ilvl w:val="0"/>
          <w:numId w:val="24"/>
        </w:numPr>
      </w:pPr>
      <w:r>
        <w:rPr>
          <w:lang w:bidi="es-US"/>
        </w:rPr>
        <w:t>Todas las comunicaciones inalámbricas entre los componentes de control de iluminación admiten los siguientes cinco niveles de medidas de seguridad:</w:t>
      </w:r>
    </w:p>
    <w:p w14:paraId="7AC5BE17" w14:textId="0471B84E" w:rsidR="00247722" w:rsidRPr="002F0466" w:rsidRDefault="1210CF08" w:rsidP="00451662">
      <w:pPr>
        <w:pStyle w:val="PR2"/>
        <w:numPr>
          <w:ilvl w:val="0"/>
          <w:numId w:val="62"/>
        </w:numPr>
      </w:pPr>
      <w:r>
        <w:rPr>
          <w:lang w:bidi="es-US"/>
        </w:rPr>
        <w:t>cifrado de datos;</w:t>
      </w:r>
    </w:p>
    <w:p w14:paraId="5936EE58" w14:textId="5CFEA3B7" w:rsidR="00247722" w:rsidRPr="002F0466" w:rsidRDefault="1210CF08" w:rsidP="00451662">
      <w:pPr>
        <w:pStyle w:val="PR2"/>
      </w:pPr>
      <w:r>
        <w:rPr>
          <w:lang w:bidi="es-US"/>
        </w:rPr>
        <w:t>protección del firmware;</w:t>
      </w:r>
    </w:p>
    <w:p w14:paraId="21B34DD0" w14:textId="568F04B5" w:rsidR="00247722" w:rsidRPr="002F0466" w:rsidRDefault="1F9023F0" w:rsidP="00451662">
      <w:pPr>
        <w:pStyle w:val="PR2"/>
      </w:pPr>
      <w:r>
        <w:rPr>
          <w:lang w:bidi="es-US"/>
        </w:rPr>
        <w:t>hardware a prueba de manipulaciones;</w:t>
      </w:r>
    </w:p>
    <w:p w14:paraId="51A5E051" w14:textId="62958469" w:rsidR="00247722" w:rsidRPr="002F0466" w:rsidRDefault="1210CF08" w:rsidP="00451662">
      <w:pPr>
        <w:pStyle w:val="PR2"/>
      </w:pPr>
      <w:r>
        <w:rPr>
          <w:lang w:bidi="es-US"/>
        </w:rPr>
        <w:t>acceso de usuarios autenticados;</w:t>
      </w:r>
    </w:p>
    <w:p w14:paraId="26443CE7" w14:textId="02A91A29" w:rsidR="00247722" w:rsidRPr="002F0466" w:rsidRDefault="1210CF08" w:rsidP="00451662">
      <w:pPr>
        <w:pStyle w:val="PR2"/>
      </w:pPr>
      <w:r>
        <w:rPr>
          <w:lang w:bidi="es-US"/>
        </w:rPr>
        <w:t>autenticación mutua de dispositivos.</w:t>
      </w:r>
    </w:p>
    <w:p w14:paraId="64B6390E" w14:textId="297B918B" w:rsidR="00247722" w:rsidRPr="002F0466" w:rsidRDefault="49F61A29" w:rsidP="006868A5">
      <w:pPr>
        <w:pStyle w:val="PR1"/>
        <w:numPr>
          <w:ilvl w:val="0"/>
          <w:numId w:val="24"/>
        </w:numPr>
      </w:pPr>
      <w:r>
        <w:rPr>
          <w:lang w:bidi="es-US"/>
        </w:rPr>
        <w:t>Los dispositivos inalámbricos utilizan el estándar de cifrado avanzado (AES) para proteger la comunicación con una clave de cifrado única generada para cada sitio programado.</w:t>
      </w:r>
    </w:p>
    <w:p w14:paraId="3175DFA4" w14:textId="7F297D9C" w:rsidR="00247722" w:rsidRDefault="7E98EF87" w:rsidP="006868A5">
      <w:pPr>
        <w:pStyle w:val="PR1"/>
        <w:numPr>
          <w:ilvl w:val="0"/>
          <w:numId w:val="24"/>
        </w:numPr>
      </w:pPr>
      <w:r>
        <w:rPr>
          <w:lang w:bidi="es-US"/>
        </w:rPr>
        <w:t>Los dispositivos inalámbricos utilizan firmware firmado para garantizar que siempre se instale software auténtico y sin modificar.</w:t>
      </w:r>
    </w:p>
    <w:p w14:paraId="5952B3AE" w14:textId="3EBEEF1B" w:rsidR="009D7BA3" w:rsidRPr="005A6F5A" w:rsidRDefault="009D7BA3" w:rsidP="005A6F5A">
      <w:pPr>
        <w:pStyle w:val="Heading2"/>
      </w:pPr>
      <w:r w:rsidRPr="005A6F5A">
        <w:rPr>
          <w:lang w:bidi="es-US"/>
        </w:rPr>
        <w:t>DISPOSITIVOS CON CABLE</w:t>
      </w:r>
    </w:p>
    <w:p w14:paraId="2585A3DD" w14:textId="19B0FA37" w:rsidR="0060652B" w:rsidRDefault="7D56676D" w:rsidP="006868A5">
      <w:pPr>
        <w:pStyle w:val="PR1"/>
        <w:numPr>
          <w:ilvl w:val="0"/>
          <w:numId w:val="63"/>
        </w:numPr>
      </w:pPr>
      <w:r>
        <w:rPr>
          <w:lang w:bidi="es-US"/>
        </w:rPr>
        <w:t>Paquete de interruptores de atenuación con cable</w:t>
      </w:r>
    </w:p>
    <w:p w14:paraId="2BDD4A64" w14:textId="62E4DFFD" w:rsidR="0026530B" w:rsidRDefault="7D56676D" w:rsidP="00451662">
      <w:pPr>
        <w:pStyle w:val="PR2"/>
        <w:numPr>
          <w:ilvl w:val="0"/>
          <w:numId w:val="64"/>
        </w:numPr>
      </w:pPr>
      <w:r>
        <w:rPr>
          <w:lang w:bidi="es-US"/>
        </w:rPr>
        <w:t xml:space="preserve">Producto base de diseño: paquete de interruptores de atenuación </w:t>
      </w:r>
      <w:proofErr w:type="spellStart"/>
      <w:r>
        <w:rPr>
          <w:lang w:bidi="es-US"/>
        </w:rPr>
        <w:t>WaveLinx</w:t>
      </w:r>
      <w:proofErr w:type="spellEnd"/>
      <w:r>
        <w:rPr>
          <w:lang w:bidi="es-US"/>
        </w:rPr>
        <w:t> CAT con un canal de atenuación de 0-10 V [RSP-C-010].</w:t>
      </w:r>
    </w:p>
    <w:p w14:paraId="28433891" w14:textId="629FE9E8" w:rsidR="0060652B" w:rsidRDefault="7D56676D" w:rsidP="00451662">
      <w:pPr>
        <w:pStyle w:val="PR2"/>
        <w:numPr>
          <w:ilvl w:val="0"/>
          <w:numId w:val="64"/>
        </w:numPr>
      </w:pPr>
      <w:r>
        <w:rPr>
          <w:lang w:bidi="es-US"/>
        </w:rPr>
        <w:t xml:space="preserve">Comunicación: </w:t>
      </w:r>
    </w:p>
    <w:p w14:paraId="573E3083" w14:textId="5C146754" w:rsidR="0060652B" w:rsidRDefault="3DEA41F4" w:rsidP="00451662">
      <w:pPr>
        <w:pStyle w:val="PR3"/>
        <w:numPr>
          <w:ilvl w:val="4"/>
          <w:numId w:val="66"/>
        </w:numPr>
      </w:pPr>
      <w:r>
        <w:rPr>
          <w:lang w:bidi="es-US"/>
        </w:rPr>
        <w:t>Cable de red de bajo voltaje.</w:t>
      </w:r>
    </w:p>
    <w:p w14:paraId="256C2E60" w14:textId="2B329745" w:rsidR="0060652B" w:rsidRDefault="5AFE7846" w:rsidP="00451662">
      <w:pPr>
        <w:pStyle w:val="PR3"/>
      </w:pPr>
      <w:r>
        <w:rPr>
          <w:lang w:bidi="es-US"/>
        </w:rPr>
        <w:t>Puertos de comunicación: 2 conectores RJ-45.</w:t>
      </w:r>
    </w:p>
    <w:p w14:paraId="2EE77F53" w14:textId="56EC9104" w:rsidR="0060652B" w:rsidRDefault="7D56676D" w:rsidP="00451662">
      <w:pPr>
        <w:pStyle w:val="PR2"/>
      </w:pPr>
      <w:r>
        <w:rPr>
          <w:lang w:bidi="es-US"/>
        </w:rPr>
        <w:t xml:space="preserve">Clasificación </w:t>
      </w:r>
      <w:proofErr w:type="spellStart"/>
      <w:r>
        <w:rPr>
          <w:lang w:bidi="es-US"/>
        </w:rPr>
        <w:t>plenum</w:t>
      </w:r>
      <w:proofErr w:type="spellEnd"/>
    </w:p>
    <w:p w14:paraId="58165D0F" w14:textId="683F7B90" w:rsidR="00C410BA" w:rsidRDefault="00350142" w:rsidP="00451662">
      <w:pPr>
        <w:pStyle w:val="PR2"/>
      </w:pPr>
      <w:r>
        <w:rPr>
          <w:lang w:bidi="es-US"/>
        </w:rPr>
        <w:t>U</w:t>
      </w:r>
      <w:r w:rsidR="7D56676D">
        <w:rPr>
          <w:lang w:bidi="es-US"/>
        </w:rPr>
        <w:t xml:space="preserve">nidad integrada y autónoma que consta internamente de un relé aislado de control de conmutación de carga [y una fuente de alimentación para suministrar alimentación de bajo voltaje]. </w:t>
      </w:r>
    </w:p>
    <w:p w14:paraId="6DF6D278" w14:textId="443DE6EA" w:rsidR="00C410BA" w:rsidRDefault="5E06AEB1" w:rsidP="00451662">
      <w:pPr>
        <w:pStyle w:val="PR2"/>
      </w:pPr>
      <w:r>
        <w:rPr>
          <w:lang w:bidi="es-US"/>
        </w:rPr>
        <w:t>Voltaje de entrada: 120/277 VCA</w:t>
      </w:r>
    </w:p>
    <w:p w14:paraId="7E755269" w14:textId="751C5AD4" w:rsidR="00C410BA" w:rsidRDefault="7D56676D" w:rsidP="00451662">
      <w:pPr>
        <w:pStyle w:val="PR2"/>
      </w:pPr>
      <w:r>
        <w:rPr>
          <w:lang w:bidi="es-US"/>
        </w:rPr>
        <w:t xml:space="preserve">Salida del relé: relé de enganche de Clase 1 y de 20 A </w:t>
      </w:r>
      <w:proofErr w:type="spellStart"/>
      <w:r>
        <w:rPr>
          <w:lang w:bidi="es-US"/>
        </w:rPr>
        <w:t>a</w:t>
      </w:r>
      <w:proofErr w:type="spellEnd"/>
      <w:r>
        <w:rPr>
          <w:lang w:bidi="es-US"/>
        </w:rPr>
        <w:t xml:space="preserve"> 277 VCA.</w:t>
      </w:r>
    </w:p>
    <w:p w14:paraId="470BC315" w14:textId="3DFF1DEE" w:rsidR="00C410BA" w:rsidRDefault="1B799ED2" w:rsidP="00451662">
      <w:pPr>
        <w:pStyle w:val="PR2"/>
      </w:pPr>
      <w:r>
        <w:rPr>
          <w:lang w:bidi="es-US"/>
        </w:rPr>
        <w:t>Señal de salida de cierre de contacto (-R) a sistemas de terceros.</w:t>
      </w:r>
    </w:p>
    <w:p w14:paraId="6F8F2A7B" w14:textId="1063E946" w:rsidR="00C410BA" w:rsidRDefault="7D56676D" w:rsidP="00451662">
      <w:pPr>
        <w:pStyle w:val="PR2"/>
      </w:pPr>
      <w:r>
        <w:rPr>
          <w:lang w:bidi="es-US"/>
        </w:rPr>
        <w:t xml:space="preserve">Salida de atenuación: </w:t>
      </w:r>
      <w:r w:rsidR="00350142">
        <w:rPr>
          <w:lang w:bidi="es-US"/>
        </w:rPr>
        <w:t>s</w:t>
      </w:r>
      <w:r>
        <w:rPr>
          <w:lang w:bidi="es-US"/>
        </w:rPr>
        <w:t>alida única de atenuación de Clase 2 de 0-10 V.</w:t>
      </w:r>
    </w:p>
    <w:p w14:paraId="76547ADD" w14:textId="0FE602FE" w:rsidR="00C410BA" w:rsidRPr="006868A5" w:rsidRDefault="38BDE315" w:rsidP="00451662">
      <w:pPr>
        <w:pStyle w:val="PR2"/>
        <w:rPr>
          <w:lang w:val="it-IT"/>
        </w:rPr>
      </w:pPr>
      <w:proofErr w:type="spellStart"/>
      <w:r w:rsidRPr="006868A5">
        <w:rPr>
          <w:lang w:val="it-IT" w:bidi="es-US"/>
        </w:rPr>
        <w:t>Corriente</w:t>
      </w:r>
      <w:proofErr w:type="spellEnd"/>
      <w:r w:rsidRPr="006868A5">
        <w:rPr>
          <w:lang w:val="it-IT" w:bidi="es-US"/>
        </w:rPr>
        <w:t xml:space="preserve"> del </w:t>
      </w:r>
      <w:proofErr w:type="spellStart"/>
      <w:r w:rsidRPr="006868A5">
        <w:rPr>
          <w:lang w:val="it-IT" w:bidi="es-US"/>
        </w:rPr>
        <w:t>sumidero</w:t>
      </w:r>
      <w:proofErr w:type="spellEnd"/>
      <w:r w:rsidRPr="006868A5">
        <w:rPr>
          <w:lang w:val="it-IT" w:bidi="es-US"/>
        </w:rPr>
        <w:t>: 30 </w:t>
      </w:r>
      <w:proofErr w:type="spellStart"/>
      <w:r w:rsidRPr="006868A5">
        <w:rPr>
          <w:lang w:val="it-IT" w:bidi="es-US"/>
        </w:rPr>
        <w:t>mA</w:t>
      </w:r>
      <w:proofErr w:type="spellEnd"/>
      <w:r w:rsidRPr="006868A5">
        <w:rPr>
          <w:lang w:val="it-IT" w:bidi="es-US"/>
        </w:rPr>
        <w:t xml:space="preserve"> a 0-10 VCC.</w:t>
      </w:r>
    </w:p>
    <w:p w14:paraId="175638CA" w14:textId="6A8A1F34" w:rsidR="00C410BA" w:rsidRDefault="38BDE315" w:rsidP="00451662">
      <w:pPr>
        <w:pStyle w:val="PR2"/>
      </w:pPr>
      <w:r w:rsidRPr="5B5CE439">
        <w:rPr>
          <w:lang w:bidi="es-US"/>
        </w:rPr>
        <w:t>Potencia de salida: 24 VCC; 350 </w:t>
      </w:r>
      <w:proofErr w:type="spellStart"/>
      <w:r w:rsidRPr="5B5CE439">
        <w:rPr>
          <w:lang w:bidi="es-US"/>
        </w:rPr>
        <w:t>mA.</w:t>
      </w:r>
      <w:proofErr w:type="spellEnd"/>
      <w:r w:rsidRPr="5B5CE439">
        <w:rPr>
          <w:lang w:bidi="es-US"/>
        </w:rPr>
        <w:t xml:space="preserve"> </w:t>
      </w:r>
    </w:p>
    <w:p w14:paraId="6C8755DE" w14:textId="4F64045F" w:rsidR="00C410BA" w:rsidRDefault="7D56676D" w:rsidP="00451662">
      <w:pPr>
        <w:pStyle w:val="PR2"/>
      </w:pPr>
      <w:r>
        <w:rPr>
          <w:lang w:bidi="es-US"/>
        </w:rPr>
        <w:t>Montaje: boquilla roscada integrada de 1/2 in.</w:t>
      </w:r>
    </w:p>
    <w:p w14:paraId="644FCD2F" w14:textId="3BEDB7F7" w:rsidR="00C410BA" w:rsidRDefault="7D56676D" w:rsidP="00451662">
      <w:pPr>
        <w:pStyle w:val="PR2"/>
      </w:pPr>
      <w:r>
        <w:rPr>
          <w:lang w:bidi="es-US"/>
        </w:rPr>
        <w:t xml:space="preserve">Datos de consumo de energía calculados disponibles a través del </w:t>
      </w:r>
      <w:proofErr w:type="spellStart"/>
      <w:r>
        <w:rPr>
          <w:lang w:bidi="es-US"/>
        </w:rPr>
        <w:t>WaveLinx</w:t>
      </w:r>
      <w:proofErr w:type="spellEnd"/>
      <w:r>
        <w:rPr>
          <w:lang w:bidi="es-US"/>
        </w:rPr>
        <w:t> CORE o de dispositivos de red de nivel superior.</w:t>
      </w:r>
    </w:p>
    <w:p w14:paraId="286AD2FD" w14:textId="39D23AB1" w:rsidR="00C410BA" w:rsidRDefault="7D56676D" w:rsidP="00451662">
      <w:pPr>
        <w:pStyle w:val="PR2"/>
      </w:pPr>
      <w:r>
        <w:rPr>
          <w:lang w:bidi="es-US"/>
        </w:rPr>
        <w:t xml:space="preserve">Deberá poder controlar cargas de receptáculos o enchufes de hasta 20 A. </w:t>
      </w:r>
    </w:p>
    <w:p w14:paraId="5D80C2A4" w14:textId="70A8D876" w:rsidR="00C410BA" w:rsidRDefault="4F6000AA" w:rsidP="00451662">
      <w:pPr>
        <w:pStyle w:val="PR2"/>
      </w:pPr>
      <w:r>
        <w:rPr>
          <w:lang w:bidi="es-US"/>
        </w:rPr>
        <w:t xml:space="preserve">Normas/reglamentos medioambientales: </w:t>
      </w:r>
    </w:p>
    <w:p w14:paraId="6AB818BC" w14:textId="33B56EB6" w:rsidR="00C410BA" w:rsidRDefault="4F6000AA" w:rsidP="00451662">
      <w:pPr>
        <w:pStyle w:val="PR3"/>
        <w:numPr>
          <w:ilvl w:val="4"/>
          <w:numId w:val="67"/>
        </w:numPr>
      </w:pPr>
      <w:r w:rsidRPr="5B5CE439">
        <w:rPr>
          <w:lang w:bidi="es-US"/>
        </w:rPr>
        <w:t>Certificado de la Comisión Federal de Comunicaciones ​(FCC).</w:t>
      </w:r>
    </w:p>
    <w:p w14:paraId="45CD4073" w14:textId="1514F26B" w:rsidR="00C410BA" w:rsidRDefault="4F6000AA" w:rsidP="00451662">
      <w:pPr>
        <w:pStyle w:val="PR3"/>
      </w:pPr>
      <w:r w:rsidRPr="5B5CE439">
        <w:rPr>
          <w:lang w:bidi="es-US"/>
        </w:rPr>
        <w:t>Certificación de UL (</w:t>
      </w:r>
      <w:proofErr w:type="spellStart"/>
      <w:r w:rsidRPr="5B5CE439">
        <w:rPr>
          <w:lang w:bidi="es-US"/>
        </w:rPr>
        <w:t>cULus</w:t>
      </w:r>
      <w:proofErr w:type="spellEnd"/>
      <w:r w:rsidRPr="5B5CE439">
        <w:rPr>
          <w:lang w:bidi="es-US"/>
        </w:rPr>
        <w:t>).</w:t>
      </w:r>
    </w:p>
    <w:p w14:paraId="682418B1" w14:textId="768C8B2D" w:rsidR="00CA19D8" w:rsidRDefault="5525B983" w:rsidP="006868A5">
      <w:pPr>
        <w:pStyle w:val="PR1"/>
        <w:numPr>
          <w:ilvl w:val="0"/>
          <w:numId w:val="63"/>
        </w:numPr>
      </w:pPr>
      <w:r>
        <w:rPr>
          <w:lang w:bidi="es-US"/>
        </w:rPr>
        <w:t>Paquete de interruptores de atenuación cableados para emergencias</w:t>
      </w:r>
    </w:p>
    <w:p w14:paraId="41ED697A" w14:textId="5B6A3E0F" w:rsidR="00341800" w:rsidRDefault="5525B983" w:rsidP="00451662">
      <w:pPr>
        <w:pStyle w:val="PR2"/>
        <w:numPr>
          <w:ilvl w:val="0"/>
          <w:numId w:val="68"/>
        </w:numPr>
      </w:pPr>
      <w:r>
        <w:rPr>
          <w:lang w:bidi="es-US"/>
        </w:rPr>
        <w:t xml:space="preserve">Producto base de diseño: paquete de interruptores de atenuación para emergencias </w:t>
      </w:r>
      <w:proofErr w:type="spellStart"/>
      <w:r>
        <w:rPr>
          <w:lang w:bidi="es-US"/>
        </w:rPr>
        <w:t>WaveLinx</w:t>
      </w:r>
      <w:proofErr w:type="spellEnd"/>
      <w:r>
        <w:rPr>
          <w:lang w:bidi="es-US"/>
        </w:rPr>
        <w:t xml:space="preserve"> CAT con un canal de atenuación de 0-10 V [ESP-C-010]. </w:t>
      </w:r>
    </w:p>
    <w:p w14:paraId="466B2699" w14:textId="64D45C7F" w:rsidR="00CA19D8" w:rsidRDefault="5525B983" w:rsidP="00451662">
      <w:pPr>
        <w:pStyle w:val="PR2"/>
        <w:numPr>
          <w:ilvl w:val="0"/>
          <w:numId w:val="68"/>
        </w:numPr>
      </w:pPr>
      <w:r>
        <w:rPr>
          <w:lang w:bidi="es-US"/>
        </w:rPr>
        <w:lastRenderedPageBreak/>
        <w:t xml:space="preserve">Comunicación: </w:t>
      </w:r>
    </w:p>
    <w:p w14:paraId="5B5475EF" w14:textId="43EE2815" w:rsidR="00CA19D8" w:rsidRDefault="5525B983" w:rsidP="00451662">
      <w:pPr>
        <w:pStyle w:val="PR3"/>
        <w:numPr>
          <w:ilvl w:val="4"/>
          <w:numId w:val="69"/>
        </w:numPr>
      </w:pPr>
      <w:r>
        <w:rPr>
          <w:lang w:bidi="es-US"/>
        </w:rPr>
        <w:t>Cable de red de bajo voltaje.</w:t>
      </w:r>
    </w:p>
    <w:p w14:paraId="57E411A1" w14:textId="12D56ABB" w:rsidR="00CA19D8" w:rsidRDefault="5525B983" w:rsidP="00451662">
      <w:pPr>
        <w:pStyle w:val="PR3"/>
        <w:rPr>
          <w:rFonts w:eastAsia="Arial" w:cs="Arial"/>
        </w:rPr>
      </w:pPr>
      <w:r>
        <w:rPr>
          <w:lang w:bidi="es-US"/>
        </w:rPr>
        <w:t>Puertos de comunicación: 2 conectores RJ-45.</w:t>
      </w:r>
    </w:p>
    <w:p w14:paraId="63852201" w14:textId="77777777" w:rsidR="00CA19D8" w:rsidRPr="003028B4" w:rsidRDefault="5525B983" w:rsidP="00451662">
      <w:pPr>
        <w:pStyle w:val="PR2"/>
      </w:pPr>
      <w:r>
        <w:rPr>
          <w:lang w:bidi="es-US"/>
        </w:rPr>
        <w:t xml:space="preserve">Clasificación </w:t>
      </w:r>
      <w:proofErr w:type="spellStart"/>
      <w:r>
        <w:rPr>
          <w:lang w:bidi="es-US"/>
        </w:rPr>
        <w:t>plenum</w:t>
      </w:r>
      <w:proofErr w:type="spellEnd"/>
    </w:p>
    <w:p w14:paraId="05767C60" w14:textId="5C6C745D" w:rsidR="00CA19D8" w:rsidRPr="003028B4" w:rsidRDefault="00350142" w:rsidP="00451662">
      <w:pPr>
        <w:pStyle w:val="PR2"/>
      </w:pPr>
      <w:r>
        <w:rPr>
          <w:lang w:bidi="es-US"/>
        </w:rPr>
        <w:t>U</w:t>
      </w:r>
      <w:r w:rsidR="5525B983">
        <w:rPr>
          <w:lang w:bidi="es-US"/>
        </w:rPr>
        <w:t xml:space="preserve">nidad integrada y autónoma que consta internamente de un relé aislado de control de conmutación de carga [y una fuente de alimentación para suministrar alimentación de bajo voltaje]. </w:t>
      </w:r>
    </w:p>
    <w:p w14:paraId="2D8E1397" w14:textId="110BDEAF" w:rsidR="00CA19D8" w:rsidRDefault="5525B983" w:rsidP="00451662">
      <w:pPr>
        <w:pStyle w:val="PR2"/>
      </w:pPr>
      <w:r>
        <w:rPr>
          <w:lang w:bidi="es-US"/>
        </w:rPr>
        <w:t xml:space="preserve">Voltaje de entrada: 120/277 VCA </w:t>
      </w:r>
    </w:p>
    <w:p w14:paraId="5044A74D" w14:textId="19862F28" w:rsidR="2E8305D3" w:rsidRDefault="543D2AD4" w:rsidP="00451662">
      <w:pPr>
        <w:pStyle w:val="PR2"/>
      </w:pPr>
      <w:r>
        <w:rPr>
          <w:lang w:bidi="es-US"/>
        </w:rPr>
        <w:t>Solo una fuente de voltaje de entrada desde el panel de emergencia al ESP-C.</w:t>
      </w:r>
    </w:p>
    <w:p w14:paraId="6F802EC7" w14:textId="38323EDC" w:rsidR="2E8305D3" w:rsidRDefault="543D2AD4" w:rsidP="00451662">
      <w:pPr>
        <w:pStyle w:val="PR2"/>
      </w:pPr>
      <w:r>
        <w:rPr>
          <w:lang w:bidi="es-US"/>
        </w:rPr>
        <w:t>Detección del sentido de pérdida de potencia normal a través de la señal de red (bus de comunicación).</w:t>
      </w:r>
    </w:p>
    <w:p w14:paraId="0D7BEC23" w14:textId="7EB0EAA9" w:rsidR="00CA19D8" w:rsidRDefault="5525B983" w:rsidP="00451662">
      <w:pPr>
        <w:pStyle w:val="PR2"/>
      </w:pPr>
      <w:r>
        <w:rPr>
          <w:lang w:bidi="es-US"/>
        </w:rPr>
        <w:t xml:space="preserve">Salida del relé: relé de enganche de Clase 1 y de 20 A </w:t>
      </w:r>
      <w:proofErr w:type="spellStart"/>
      <w:r>
        <w:rPr>
          <w:lang w:bidi="es-US"/>
        </w:rPr>
        <w:t>a</w:t>
      </w:r>
      <w:proofErr w:type="spellEnd"/>
      <w:r>
        <w:rPr>
          <w:lang w:bidi="es-US"/>
        </w:rPr>
        <w:t xml:space="preserve"> 277 VCA. </w:t>
      </w:r>
    </w:p>
    <w:p w14:paraId="10C07B15" w14:textId="2154ED30" w:rsidR="00CA19D8" w:rsidRDefault="5525B983" w:rsidP="00451662">
      <w:pPr>
        <w:pStyle w:val="PR2"/>
      </w:pPr>
      <w:r>
        <w:rPr>
          <w:lang w:bidi="es-US"/>
        </w:rPr>
        <w:t xml:space="preserve">Salida de atenuación: </w:t>
      </w:r>
      <w:r w:rsidR="00350142">
        <w:rPr>
          <w:lang w:bidi="es-US"/>
        </w:rPr>
        <w:t>s</w:t>
      </w:r>
      <w:r>
        <w:rPr>
          <w:lang w:bidi="es-US"/>
        </w:rPr>
        <w:t>alida única de atenuación de Clase 2 de 0-10 V.</w:t>
      </w:r>
    </w:p>
    <w:p w14:paraId="433E7F6A" w14:textId="63061FEA" w:rsidR="00CA19D8" w:rsidRPr="006868A5" w:rsidRDefault="5525B983" w:rsidP="00451662">
      <w:pPr>
        <w:pStyle w:val="PR2"/>
        <w:rPr>
          <w:lang w:val="it-IT"/>
        </w:rPr>
      </w:pPr>
      <w:proofErr w:type="spellStart"/>
      <w:r w:rsidRPr="006868A5">
        <w:rPr>
          <w:lang w:val="it-IT" w:bidi="es-US"/>
        </w:rPr>
        <w:t>Corriente</w:t>
      </w:r>
      <w:proofErr w:type="spellEnd"/>
      <w:r w:rsidRPr="006868A5">
        <w:rPr>
          <w:lang w:val="it-IT" w:bidi="es-US"/>
        </w:rPr>
        <w:t xml:space="preserve"> del </w:t>
      </w:r>
      <w:proofErr w:type="spellStart"/>
      <w:r w:rsidRPr="006868A5">
        <w:rPr>
          <w:lang w:val="it-IT" w:bidi="es-US"/>
        </w:rPr>
        <w:t>sumidero</w:t>
      </w:r>
      <w:proofErr w:type="spellEnd"/>
      <w:r w:rsidRPr="006868A5">
        <w:rPr>
          <w:lang w:val="it-IT" w:bidi="es-US"/>
        </w:rPr>
        <w:t>: 30 </w:t>
      </w:r>
      <w:proofErr w:type="spellStart"/>
      <w:r w:rsidRPr="006868A5">
        <w:rPr>
          <w:lang w:val="it-IT" w:bidi="es-US"/>
        </w:rPr>
        <w:t>mA</w:t>
      </w:r>
      <w:proofErr w:type="spellEnd"/>
      <w:r w:rsidRPr="006868A5">
        <w:rPr>
          <w:lang w:val="it-IT" w:bidi="es-US"/>
        </w:rPr>
        <w:t xml:space="preserve"> a 0-10 VCC.</w:t>
      </w:r>
    </w:p>
    <w:p w14:paraId="4FAAD47B" w14:textId="77777777" w:rsidR="00CA19D8" w:rsidRPr="00171548" w:rsidRDefault="5525B983" w:rsidP="00451662">
      <w:pPr>
        <w:pStyle w:val="PR2"/>
        <w:rPr>
          <w:lang w:val="en-CA"/>
        </w:rPr>
      </w:pPr>
      <w:r w:rsidRPr="5B5CE439">
        <w:rPr>
          <w:lang w:bidi="es-US"/>
        </w:rPr>
        <w:t>Potencia de salida: 24 VCC; 350 </w:t>
      </w:r>
      <w:proofErr w:type="spellStart"/>
      <w:r w:rsidRPr="5B5CE439">
        <w:rPr>
          <w:lang w:bidi="es-US"/>
        </w:rPr>
        <w:t>mA.</w:t>
      </w:r>
      <w:proofErr w:type="spellEnd"/>
      <w:r w:rsidRPr="5B5CE439">
        <w:rPr>
          <w:lang w:bidi="es-US"/>
        </w:rPr>
        <w:t xml:space="preserve"> </w:t>
      </w:r>
    </w:p>
    <w:p w14:paraId="67A65DC1" w14:textId="37A57DAC" w:rsidR="00CA19D8" w:rsidRPr="003028B4" w:rsidRDefault="5525B983" w:rsidP="00451662">
      <w:pPr>
        <w:pStyle w:val="PR2"/>
      </w:pPr>
      <w:r>
        <w:rPr>
          <w:lang w:bidi="es-US"/>
        </w:rPr>
        <w:t>Montaje: boquilla roscada integrada de 1/2 in.</w:t>
      </w:r>
    </w:p>
    <w:p w14:paraId="7467A49B" w14:textId="60879F4B" w:rsidR="00CA19D8" w:rsidRDefault="5525B983" w:rsidP="00451662">
      <w:pPr>
        <w:pStyle w:val="PR2"/>
      </w:pPr>
      <w:r>
        <w:rPr>
          <w:lang w:bidi="es-US"/>
        </w:rPr>
        <w:t>Datos de consumo de energía calculados disponibles a través del WaveLinx CORE o de dispositivos de red de nivel superior.</w:t>
      </w:r>
    </w:p>
    <w:p w14:paraId="002FAC76" w14:textId="1DFBA74F" w:rsidR="00823AB3" w:rsidRPr="003028B4" w:rsidRDefault="248C9CEA" w:rsidP="00451662">
      <w:pPr>
        <w:pStyle w:val="PR2"/>
      </w:pPr>
      <w:r>
        <w:rPr>
          <w:lang w:bidi="es-US"/>
        </w:rPr>
        <w:t>Anulará automáticamente la luminaria de emergencia a plena potencia en caso de pérdida de alimentación normal.</w:t>
      </w:r>
    </w:p>
    <w:p w14:paraId="3A397FAC" w14:textId="70B9026D" w:rsidR="008140A1" w:rsidRDefault="479D32BF" w:rsidP="00451662">
      <w:pPr>
        <w:pStyle w:val="PR2"/>
      </w:pPr>
      <w:r>
        <w:rPr>
          <w:lang w:bidi="es-US"/>
        </w:rPr>
        <w:t xml:space="preserve">Normas/reglamentos medioambientales: </w:t>
      </w:r>
    </w:p>
    <w:p w14:paraId="3A87C6E7" w14:textId="4BA8A6B1" w:rsidR="008140A1" w:rsidRDefault="479D32BF" w:rsidP="00451662">
      <w:pPr>
        <w:pStyle w:val="PR3"/>
        <w:numPr>
          <w:ilvl w:val="4"/>
          <w:numId w:val="70"/>
        </w:numPr>
      </w:pPr>
      <w:r>
        <w:rPr>
          <w:lang w:bidi="es-US"/>
        </w:rPr>
        <w:t>Certificado de la Comisión Federal de Comunicaciones ​(FCC).</w:t>
      </w:r>
    </w:p>
    <w:p w14:paraId="2F9643AC" w14:textId="195A2692" w:rsidR="008140A1" w:rsidRDefault="479D32BF" w:rsidP="00451662">
      <w:pPr>
        <w:pStyle w:val="PR3"/>
      </w:pPr>
      <w:r>
        <w:rPr>
          <w:lang w:bidi="es-US"/>
        </w:rPr>
        <w:t>Certificación de UL (cULus).</w:t>
      </w:r>
    </w:p>
    <w:p w14:paraId="6B25A795" w14:textId="7E352F1B" w:rsidR="008140A1" w:rsidRDefault="479D32BF" w:rsidP="00451662">
      <w:pPr>
        <w:pStyle w:val="PR3"/>
      </w:pPr>
      <w:r>
        <w:rPr>
          <w:lang w:bidi="es-US"/>
        </w:rPr>
        <w:t>Certificación UL924 (iluminación de emergencia y equipos eléctricos)</w:t>
      </w:r>
    </w:p>
    <w:p w14:paraId="0506CA83" w14:textId="437C7B1B" w:rsidR="008B29DB" w:rsidRDefault="353758A5" w:rsidP="006868A5">
      <w:pPr>
        <w:pStyle w:val="PR1"/>
        <w:numPr>
          <w:ilvl w:val="0"/>
          <w:numId w:val="63"/>
        </w:numPr>
      </w:pPr>
      <w:r>
        <w:rPr>
          <w:lang w:bidi="es-US"/>
        </w:rPr>
        <w:t>Interfaces de control personal con cable</w:t>
      </w:r>
    </w:p>
    <w:p w14:paraId="4611A4E1" w14:textId="1B7D96EB" w:rsidR="00372071" w:rsidRDefault="77179EFF" w:rsidP="00451662">
      <w:pPr>
        <w:pStyle w:val="PR2"/>
        <w:numPr>
          <w:ilvl w:val="0"/>
          <w:numId w:val="72"/>
        </w:numPr>
      </w:pPr>
      <w:r>
        <w:rPr>
          <w:lang w:bidi="es-US"/>
        </w:rPr>
        <w:t xml:space="preserve">Producto base de diseño: </w:t>
      </w:r>
      <w:r w:rsidR="00350142">
        <w:rPr>
          <w:lang w:bidi="es-US"/>
        </w:rPr>
        <w:t>u</w:t>
      </w:r>
      <w:r>
        <w:rPr>
          <w:lang w:bidi="es-US"/>
        </w:rPr>
        <w:t xml:space="preserve">nidad de pared </w:t>
      </w:r>
      <w:proofErr w:type="spellStart"/>
      <w:r>
        <w:rPr>
          <w:lang w:bidi="es-US"/>
        </w:rPr>
        <w:t>WaveLinx</w:t>
      </w:r>
      <w:proofErr w:type="spellEnd"/>
      <w:r>
        <w:rPr>
          <w:lang w:bidi="es-US"/>
        </w:rPr>
        <w:t> CAT [WST-C-*] \</w:t>
      </w:r>
    </w:p>
    <w:p w14:paraId="628BF130" w14:textId="12BBB4BE" w:rsidR="001B62AA" w:rsidRDefault="74DC32DD" w:rsidP="00451662">
      <w:pPr>
        <w:pStyle w:val="PR2"/>
        <w:numPr>
          <w:ilvl w:val="0"/>
          <w:numId w:val="72"/>
        </w:numPr>
      </w:pPr>
      <w:r>
        <w:rPr>
          <w:lang w:bidi="es-US"/>
        </w:rPr>
        <w:t xml:space="preserve">Comunicación: </w:t>
      </w:r>
    </w:p>
    <w:p w14:paraId="7F0FDE79" w14:textId="5095D3E6" w:rsidR="009D2A65" w:rsidRDefault="00350142" w:rsidP="00451662">
      <w:pPr>
        <w:pStyle w:val="PR3"/>
        <w:numPr>
          <w:ilvl w:val="4"/>
          <w:numId w:val="74"/>
        </w:numPr>
      </w:pPr>
      <w:r>
        <w:rPr>
          <w:lang w:bidi="es-US"/>
        </w:rPr>
        <w:t>C</w:t>
      </w:r>
      <w:r w:rsidR="74DC32DD">
        <w:rPr>
          <w:lang w:bidi="es-US"/>
        </w:rPr>
        <w:t>able de red de bajo voltaje.</w:t>
      </w:r>
    </w:p>
    <w:p w14:paraId="573C5306" w14:textId="6E0926FD" w:rsidR="009D2A65" w:rsidRDefault="74DC32DD" w:rsidP="00451662">
      <w:pPr>
        <w:pStyle w:val="PR3"/>
        <w:numPr>
          <w:ilvl w:val="4"/>
          <w:numId w:val="74"/>
        </w:numPr>
      </w:pPr>
      <w:r>
        <w:rPr>
          <w:lang w:bidi="es-US"/>
        </w:rPr>
        <w:t>Puertos de comunicación: 2 conectores RJ-45.</w:t>
      </w:r>
    </w:p>
    <w:p w14:paraId="22521E3B" w14:textId="5B6CA937" w:rsidR="00712583" w:rsidRDefault="55A84797" w:rsidP="00451662">
      <w:pPr>
        <w:pStyle w:val="PR2"/>
      </w:pPr>
      <w:r>
        <w:rPr>
          <w:lang w:bidi="es-US"/>
        </w:rPr>
        <w:t xml:space="preserve">Voltaje de entrada: </w:t>
      </w:r>
      <w:r w:rsidR="00350142" w:rsidRPr="00350142">
        <w:rPr>
          <w:lang w:bidi="es-US"/>
        </w:rPr>
        <w:t>alimentación</w:t>
      </w:r>
      <w:r>
        <w:rPr>
          <w:lang w:bidi="es-US"/>
        </w:rPr>
        <w:t xml:space="preserve"> de bajo voltaje suministrada por cable de red de bajo voltaje.</w:t>
      </w:r>
    </w:p>
    <w:p w14:paraId="20F4C48B" w14:textId="04763AA0" w:rsidR="00712583" w:rsidRDefault="5326D041" w:rsidP="00451662">
      <w:pPr>
        <w:pStyle w:val="PR2"/>
      </w:pPr>
      <w:r>
        <w:rPr>
          <w:lang w:bidi="es-US"/>
        </w:rPr>
        <w:t>Indicador LED único que señala el estado de la unidad de pared y de la comunicación.</w:t>
      </w:r>
    </w:p>
    <w:p w14:paraId="29E74BC6" w14:textId="3DBA78CE" w:rsidR="00712583" w:rsidRDefault="55A84797" w:rsidP="00451662">
      <w:pPr>
        <w:pStyle w:val="PR2"/>
      </w:pPr>
      <w:r w:rsidRPr="003A27FA">
        <w:rPr>
          <w:lang w:bidi="es-US"/>
        </w:rPr>
        <w:t>Los controles incorporan memoria no volátil. Las configuraciones y los parámetros guardados en la memoria protegida no se perderán en caso de que se interrumpa y restablezca el suministro eléctrico.</w:t>
      </w:r>
    </w:p>
    <w:p w14:paraId="1A0D0E0B" w14:textId="068E470F" w:rsidR="00712583" w:rsidRDefault="4ABF1317" w:rsidP="00451662">
      <w:pPr>
        <w:pStyle w:val="PR2"/>
      </w:pPr>
      <w:r>
        <w:rPr>
          <w:lang w:bidi="es-US"/>
        </w:rPr>
        <w:t>Configuraciones de botones compatibles:</w:t>
      </w:r>
    </w:p>
    <w:p w14:paraId="3F21A827" w14:textId="1BB6962E" w:rsidR="00712583" w:rsidRDefault="4F40C89B" w:rsidP="00451662">
      <w:pPr>
        <w:pStyle w:val="PR3"/>
        <w:numPr>
          <w:ilvl w:val="4"/>
          <w:numId w:val="75"/>
        </w:numPr>
      </w:pPr>
      <w:r>
        <w:rPr>
          <w:lang w:bidi="es-US"/>
        </w:rPr>
        <w:t>1 botón</w:t>
      </w:r>
    </w:p>
    <w:p w14:paraId="245E3D6D" w14:textId="55DF7477" w:rsidR="003079E0" w:rsidRDefault="7ECC99F2" w:rsidP="00451662">
      <w:pPr>
        <w:pStyle w:val="PR3"/>
        <w:numPr>
          <w:ilvl w:val="4"/>
          <w:numId w:val="75"/>
        </w:numPr>
      </w:pPr>
      <w:r>
        <w:rPr>
          <w:lang w:bidi="es-US"/>
        </w:rPr>
        <w:t>3 botones</w:t>
      </w:r>
    </w:p>
    <w:p w14:paraId="3B95A3ED" w14:textId="1087357A" w:rsidR="003079E0" w:rsidRDefault="7ECC99F2" w:rsidP="00451662">
      <w:pPr>
        <w:pStyle w:val="PR3"/>
        <w:numPr>
          <w:ilvl w:val="4"/>
          <w:numId w:val="75"/>
        </w:numPr>
      </w:pPr>
      <w:r>
        <w:rPr>
          <w:lang w:bidi="es-US"/>
        </w:rPr>
        <w:t>3 botones + subir/bajar</w:t>
      </w:r>
    </w:p>
    <w:p w14:paraId="13857BEB" w14:textId="290E928D" w:rsidR="004A01BB" w:rsidRPr="003028B4" w:rsidRDefault="7ECC99F2" w:rsidP="00451662">
      <w:pPr>
        <w:pStyle w:val="PR3"/>
        <w:numPr>
          <w:ilvl w:val="4"/>
          <w:numId w:val="75"/>
        </w:numPr>
      </w:pPr>
      <w:r>
        <w:rPr>
          <w:lang w:bidi="es-US"/>
        </w:rPr>
        <w:t xml:space="preserve">5 botones + subir/bajar </w:t>
      </w:r>
    </w:p>
    <w:p w14:paraId="631AF145" w14:textId="3040EA27" w:rsidR="004A01BB" w:rsidRPr="003028B4" w:rsidRDefault="79AF5337" w:rsidP="00451662">
      <w:pPr>
        <w:pStyle w:val="PR2"/>
      </w:pPr>
      <w:r>
        <w:rPr>
          <w:lang w:bidi="es-US"/>
        </w:rPr>
        <w:t>El sistema permitirá al usuario definir la acción de cada botón utilizando la aplicación de software de programación.</w:t>
      </w:r>
    </w:p>
    <w:p w14:paraId="4E7FDA51" w14:textId="09703340" w:rsidR="004A01BB" w:rsidRPr="003028B4" w:rsidRDefault="4ABF1317" w:rsidP="00451662">
      <w:pPr>
        <w:pStyle w:val="PR2"/>
      </w:pPr>
      <w:r>
        <w:rPr>
          <w:lang w:bidi="es-US"/>
        </w:rPr>
        <w:t xml:space="preserve">Acciones admitidas por botón: </w:t>
      </w:r>
    </w:p>
    <w:p w14:paraId="15202803" w14:textId="3D0B37A8" w:rsidR="004A01BB" w:rsidRPr="003028B4" w:rsidRDefault="4E6688BC" w:rsidP="00451662">
      <w:pPr>
        <w:pStyle w:val="PR3"/>
        <w:numPr>
          <w:ilvl w:val="4"/>
          <w:numId w:val="76"/>
        </w:numPr>
      </w:pPr>
      <w:r>
        <w:rPr>
          <w:lang w:bidi="es-US"/>
        </w:rPr>
        <w:t>seleccionar la escena;</w:t>
      </w:r>
    </w:p>
    <w:p w14:paraId="473E169E" w14:textId="780CDCB9" w:rsidR="004A01BB" w:rsidRPr="003028B4" w:rsidRDefault="67216BE0" w:rsidP="00451662">
      <w:pPr>
        <w:pStyle w:val="PR3"/>
        <w:numPr>
          <w:ilvl w:val="4"/>
          <w:numId w:val="76"/>
        </w:numPr>
      </w:pPr>
      <w:r>
        <w:rPr>
          <w:lang w:bidi="es-US"/>
        </w:rPr>
        <w:t>alternar la escena;</w:t>
      </w:r>
    </w:p>
    <w:p w14:paraId="61065A98" w14:textId="7B55B0DA" w:rsidR="004A01BB" w:rsidRPr="003028B4" w:rsidRDefault="67216BE0" w:rsidP="00451662">
      <w:pPr>
        <w:pStyle w:val="PR3"/>
        <w:numPr>
          <w:ilvl w:val="4"/>
          <w:numId w:val="76"/>
        </w:numPr>
      </w:pPr>
      <w:r>
        <w:rPr>
          <w:lang w:bidi="es-US"/>
        </w:rPr>
        <w:t>cambiar el nivel de la zona;</w:t>
      </w:r>
    </w:p>
    <w:p w14:paraId="0366B9C1" w14:textId="3AEDDA37" w:rsidR="004A01BB" w:rsidRPr="003028B4" w:rsidRDefault="67216BE0" w:rsidP="00451662">
      <w:pPr>
        <w:pStyle w:val="PR3"/>
        <w:numPr>
          <w:ilvl w:val="4"/>
          <w:numId w:val="76"/>
        </w:numPr>
      </w:pPr>
      <w:r>
        <w:rPr>
          <w:lang w:bidi="es-US"/>
        </w:rPr>
        <w:t>alternar la zona;</w:t>
      </w:r>
    </w:p>
    <w:p w14:paraId="4FC5D3AE" w14:textId="42894A1A" w:rsidR="004A01BB" w:rsidRPr="003028B4" w:rsidRDefault="67216BE0" w:rsidP="00451662">
      <w:pPr>
        <w:pStyle w:val="PR3"/>
        <w:numPr>
          <w:ilvl w:val="4"/>
          <w:numId w:val="76"/>
        </w:numPr>
      </w:pPr>
      <w:r>
        <w:rPr>
          <w:lang w:bidi="es-US"/>
        </w:rPr>
        <w:t>subir el nivel;</w:t>
      </w:r>
    </w:p>
    <w:p w14:paraId="6B1FECCD" w14:textId="0DD2D69B" w:rsidR="004A01BB" w:rsidRPr="003028B4" w:rsidRDefault="67216BE0" w:rsidP="00451662">
      <w:pPr>
        <w:pStyle w:val="PR3"/>
        <w:numPr>
          <w:ilvl w:val="4"/>
          <w:numId w:val="76"/>
        </w:numPr>
      </w:pPr>
      <w:r>
        <w:rPr>
          <w:lang w:bidi="es-US"/>
        </w:rPr>
        <w:t>bajar el nivel;</w:t>
      </w:r>
    </w:p>
    <w:p w14:paraId="6EA0E517" w14:textId="6DEF6F6F" w:rsidR="004A01BB" w:rsidRPr="003028B4" w:rsidRDefault="1567D8E5" w:rsidP="00451662">
      <w:pPr>
        <w:pStyle w:val="PR3"/>
      </w:pPr>
      <w:r>
        <w:rPr>
          <w:lang w:bidi="es-US"/>
        </w:rPr>
        <w:t>esperar/liberar estado ocupado;</w:t>
      </w:r>
    </w:p>
    <w:p w14:paraId="022645E8" w14:textId="34FC2C35" w:rsidR="004A01BB" w:rsidRPr="003028B4" w:rsidRDefault="1567D8E5" w:rsidP="00451662">
      <w:pPr>
        <w:pStyle w:val="PR3"/>
      </w:pPr>
      <w:r>
        <w:rPr>
          <w:lang w:bidi="es-US"/>
        </w:rPr>
        <w:t>utilizar la acción de red para la integración de tonos.</w:t>
      </w:r>
    </w:p>
    <w:p w14:paraId="7EF3A490" w14:textId="6AA54CBD" w:rsidR="008A7FA7" w:rsidRDefault="55A84797" w:rsidP="00451662">
      <w:pPr>
        <w:pStyle w:val="PR2"/>
      </w:pPr>
      <w:r>
        <w:rPr>
          <w:lang w:bidi="es-US"/>
        </w:rPr>
        <w:lastRenderedPageBreak/>
        <w:t xml:space="preserve">Configuraciones de botones digitales predefinidas. Cada unidad de pared se entrega con acciones predeterminadas para cada botón. </w:t>
      </w:r>
    </w:p>
    <w:p w14:paraId="4D0C55D1" w14:textId="5CFCB8EE" w:rsidR="00355692" w:rsidRPr="003028B4" w:rsidRDefault="55A84797" w:rsidP="00451662">
      <w:pPr>
        <w:pStyle w:val="PR2"/>
      </w:pPr>
      <w:r>
        <w:rPr>
          <w:lang w:bidi="es-US"/>
        </w:rPr>
        <w:t>Se pueden instalar varias unidades de pared con cable en un área con tal solo conectarlas al sistema WaveLinx. No será necesaria ninguna configuración adicional para conseguir la conmutación multidireccional.</w:t>
      </w:r>
    </w:p>
    <w:p w14:paraId="017AF68C" w14:textId="32570D5B" w:rsidR="00355692" w:rsidRDefault="55A84797" w:rsidP="00451662">
      <w:pPr>
        <w:pStyle w:val="PR2"/>
      </w:pPr>
      <w:r>
        <w:rPr>
          <w:lang w:bidi="es-US"/>
        </w:rPr>
        <w:t>Para mejorar la experiencia del usuario, existe la posibilidad de grabar los botones de manera personalizada.</w:t>
      </w:r>
    </w:p>
    <w:p w14:paraId="0491BFA8" w14:textId="5EB463EF" w:rsidR="00B772C3" w:rsidRDefault="4527AEFC" w:rsidP="00451662">
      <w:pPr>
        <w:pStyle w:val="PR2"/>
      </w:pPr>
      <w:r>
        <w:rPr>
          <w:lang w:bidi="es-US"/>
        </w:rPr>
        <w:t>Color: blanco, rojo, marfil, negro, almendra claro, gris.</w:t>
      </w:r>
    </w:p>
    <w:p w14:paraId="426534D5" w14:textId="1FBB84DE" w:rsidR="00C24AB3" w:rsidRDefault="6FA440F7" w:rsidP="006868A5">
      <w:pPr>
        <w:pStyle w:val="PR1"/>
        <w:numPr>
          <w:ilvl w:val="0"/>
          <w:numId w:val="63"/>
        </w:numPr>
      </w:pPr>
      <w:r>
        <w:rPr>
          <w:lang w:bidi="es-US"/>
        </w:rPr>
        <w:t>Sensor de ocupación de techo con cable</w:t>
      </w:r>
    </w:p>
    <w:p w14:paraId="72AB7CD8" w14:textId="2B275808" w:rsidR="00CC6D7A" w:rsidRDefault="6AD0CBEF" w:rsidP="00451662">
      <w:pPr>
        <w:pStyle w:val="PR2"/>
        <w:numPr>
          <w:ilvl w:val="0"/>
          <w:numId w:val="77"/>
        </w:numPr>
      </w:pPr>
      <w:r>
        <w:rPr>
          <w:lang w:bidi="es-US"/>
        </w:rPr>
        <w:t xml:space="preserve">Producto base de diseño: </w:t>
      </w:r>
      <w:r w:rsidR="00350142">
        <w:rPr>
          <w:lang w:bidi="es-US"/>
        </w:rPr>
        <w:t>s</w:t>
      </w:r>
      <w:r>
        <w:rPr>
          <w:lang w:bidi="es-US"/>
        </w:rPr>
        <w:t>ensor de ocupación de techo WaveLinx CAT [OCS-C-]</w:t>
      </w:r>
    </w:p>
    <w:p w14:paraId="58B3F63E" w14:textId="32C9616E" w:rsidR="007D6C79" w:rsidRDefault="0C9FB8B5" w:rsidP="00451662">
      <w:pPr>
        <w:pStyle w:val="PR2"/>
        <w:numPr>
          <w:ilvl w:val="0"/>
          <w:numId w:val="77"/>
        </w:numPr>
      </w:pPr>
      <w:r>
        <w:rPr>
          <w:lang w:bidi="es-US"/>
        </w:rPr>
        <w:t xml:space="preserve">Comunicación: </w:t>
      </w:r>
    </w:p>
    <w:p w14:paraId="4050B4A3" w14:textId="193E7834" w:rsidR="007D6C79" w:rsidRDefault="00350142" w:rsidP="00451662">
      <w:pPr>
        <w:pStyle w:val="PR3"/>
        <w:numPr>
          <w:ilvl w:val="4"/>
          <w:numId w:val="79"/>
        </w:numPr>
      </w:pPr>
      <w:r>
        <w:rPr>
          <w:lang w:bidi="es-US"/>
        </w:rPr>
        <w:t>C</w:t>
      </w:r>
      <w:r w:rsidR="0C9FB8B5">
        <w:rPr>
          <w:lang w:bidi="es-US"/>
        </w:rPr>
        <w:t>able de red de bajo voltaje.</w:t>
      </w:r>
    </w:p>
    <w:p w14:paraId="0A418312" w14:textId="66803C0D" w:rsidR="007D6C79" w:rsidRDefault="0C9FB8B5" w:rsidP="00451662">
      <w:pPr>
        <w:pStyle w:val="PR3"/>
      </w:pPr>
      <w:r>
        <w:rPr>
          <w:lang w:bidi="es-US"/>
        </w:rPr>
        <w:t>Puertos de comunicación: 2 conectores RJ-45.</w:t>
      </w:r>
    </w:p>
    <w:p w14:paraId="0E4E1239" w14:textId="0BF2C159" w:rsidR="007D6C79" w:rsidRPr="003028B4" w:rsidRDefault="0C9FB8B5" w:rsidP="00451662">
      <w:pPr>
        <w:pStyle w:val="PR2"/>
      </w:pPr>
      <w:r>
        <w:rPr>
          <w:lang w:bidi="es-US"/>
        </w:rPr>
        <w:t xml:space="preserve">Voltaje de entrada: </w:t>
      </w:r>
      <w:r w:rsidR="002E55BA" w:rsidRPr="002E55BA">
        <w:rPr>
          <w:lang w:bidi="es-US"/>
        </w:rPr>
        <w:t>alimentación</w:t>
      </w:r>
      <w:r>
        <w:rPr>
          <w:lang w:bidi="es-US"/>
        </w:rPr>
        <w:t xml:space="preserve"> de bajo voltaje suministrada por cable de red de bajo voltaje.</w:t>
      </w:r>
    </w:p>
    <w:p w14:paraId="01C7B829" w14:textId="32FDF3FA" w:rsidR="007D6C79" w:rsidRPr="003028B4" w:rsidRDefault="0C9FB8B5" w:rsidP="00451662">
      <w:pPr>
        <w:pStyle w:val="PR2"/>
      </w:pPr>
      <w:r>
        <w:rPr>
          <w:lang w:bidi="es-US"/>
        </w:rPr>
        <w:t>Tecnologías de detección:</w:t>
      </w:r>
    </w:p>
    <w:p w14:paraId="62C48FA4" w14:textId="4FD08A9A" w:rsidR="007D6C79" w:rsidRPr="003028B4" w:rsidRDefault="0C9FB8B5" w:rsidP="00451662">
      <w:pPr>
        <w:pStyle w:val="PR3"/>
        <w:numPr>
          <w:ilvl w:val="4"/>
          <w:numId w:val="80"/>
        </w:numPr>
      </w:pPr>
      <w:r>
        <w:rPr>
          <w:lang w:bidi="es-US"/>
        </w:rPr>
        <w:t>Detección de movimiento:</w:t>
      </w:r>
    </w:p>
    <w:p w14:paraId="29C77D7E" w14:textId="60139344" w:rsidR="007D6C79" w:rsidRPr="005E5849" w:rsidRDefault="00C15A7D" w:rsidP="00451662">
      <w:pPr>
        <w:pStyle w:val="PR4"/>
        <w:numPr>
          <w:ilvl w:val="7"/>
          <w:numId w:val="236"/>
        </w:numPr>
      </w:pPr>
      <w:r w:rsidRPr="00C15A7D">
        <w:rPr>
          <w:lang w:bidi="es-US"/>
        </w:rPr>
        <w:t>Lente PIR de segmentos múltiples, con ranuras internas para eliminar la acumulación de polvo y residuos</w:t>
      </w:r>
      <w:r w:rsidR="007D6C79" w:rsidRPr="005E5849">
        <w:rPr>
          <w:lang w:bidi="es-US"/>
        </w:rPr>
        <w:t>.</w:t>
      </w:r>
    </w:p>
    <w:p w14:paraId="6526085D" w14:textId="77777777" w:rsidR="007D6C79" w:rsidRPr="005E5849" w:rsidRDefault="007D6C79" w:rsidP="00451662">
      <w:pPr>
        <w:pStyle w:val="PR4"/>
      </w:pPr>
      <w:r w:rsidRPr="005E5849">
        <w:rPr>
          <w:lang w:bidi="es-US"/>
        </w:rPr>
        <w:t xml:space="preserve">Productos probados de forma idéntica, conformes con las normas NEMA WD 7-2011 de sensores de movimiento de ocupación. </w:t>
      </w:r>
    </w:p>
    <w:p w14:paraId="4B45ED55" w14:textId="0FD14CF2" w:rsidR="007D6C79" w:rsidRDefault="589E65E1" w:rsidP="00451662">
      <w:pPr>
        <w:pStyle w:val="PR4"/>
      </w:pPr>
      <w:r>
        <w:rPr>
          <w:lang w:bidi="es-US"/>
        </w:rPr>
        <w:t>20 minutos de tiempo de retardo por defecto con la posibilidad de aumentarlo hasta 40 minutos.</w:t>
      </w:r>
    </w:p>
    <w:p w14:paraId="4A8B7E39" w14:textId="56A09FEA" w:rsidR="007D6C79" w:rsidRDefault="007D6C79" w:rsidP="00451662">
      <w:pPr>
        <w:pStyle w:val="PR3"/>
      </w:pPr>
      <w:r>
        <w:rPr>
          <w:lang w:bidi="es-US"/>
        </w:rPr>
        <w:t>Sensores de luz diurna:</w:t>
      </w:r>
    </w:p>
    <w:p w14:paraId="647633C3" w14:textId="77777777" w:rsidR="007D6C79" w:rsidRDefault="007D6C79" w:rsidP="00451662">
      <w:pPr>
        <w:pStyle w:val="PR4"/>
        <w:numPr>
          <w:ilvl w:val="7"/>
          <w:numId w:val="81"/>
        </w:numPr>
      </w:pPr>
      <w:r>
        <w:rPr>
          <w:lang w:bidi="es-US"/>
        </w:rPr>
        <w:t>Sensor de luz diurna de bucle abierto</w:t>
      </w:r>
    </w:p>
    <w:p w14:paraId="25AC9EA0" w14:textId="357DE2CC" w:rsidR="007D6C79" w:rsidRDefault="5B36CE2C" w:rsidP="00451662">
      <w:pPr>
        <w:pStyle w:val="PR4"/>
      </w:pPr>
      <w:r>
        <w:rPr>
          <w:lang w:bidi="es-US"/>
        </w:rPr>
        <w:t>0-10,000 lux</w:t>
      </w:r>
    </w:p>
    <w:p w14:paraId="6A4E3158" w14:textId="77777777" w:rsidR="007D6C79" w:rsidRPr="009B2DF0" w:rsidRDefault="007D6C79" w:rsidP="00451662">
      <w:pPr>
        <w:pStyle w:val="PR4"/>
      </w:pPr>
      <w:r>
        <w:rPr>
          <w:lang w:bidi="es-US"/>
        </w:rPr>
        <w:t>Entrada de luz en cono de 60°</w:t>
      </w:r>
    </w:p>
    <w:p w14:paraId="1C77A248" w14:textId="0A89DAE8" w:rsidR="007D6C79" w:rsidRDefault="0C9FB8B5" w:rsidP="00451662">
      <w:pPr>
        <w:pStyle w:val="PR2"/>
      </w:pPr>
      <w:r>
        <w:rPr>
          <w:lang w:bidi="es-US"/>
        </w:rPr>
        <w:t xml:space="preserve">Memoria de fallas de alimentación: el dispositivo incorporará una memoria no volátil. Las configuraciones y los parámetros guardados en la memoria protegida no se perderán en caso de que se interrumpa y posteriormente restablezca el suministro eléctrico. La programación se almacena en cada sensor además de en el controlador de área. </w:t>
      </w:r>
    </w:p>
    <w:p w14:paraId="39702A0A" w14:textId="63BB1A45" w:rsidR="007D6C79" w:rsidRDefault="0C9FB8B5" w:rsidP="00451662">
      <w:pPr>
        <w:pStyle w:val="PR2"/>
      </w:pPr>
      <w:r>
        <w:rPr>
          <w:lang w:bidi="es-US"/>
        </w:rPr>
        <w:t>El sensor comunica los siguientes datos al controlador de área:</w:t>
      </w:r>
    </w:p>
    <w:p w14:paraId="00959E9E" w14:textId="4595055A" w:rsidR="007D6C79" w:rsidRDefault="0C9FB8B5" w:rsidP="00451662">
      <w:pPr>
        <w:pStyle w:val="PR3"/>
        <w:numPr>
          <w:ilvl w:val="4"/>
          <w:numId w:val="82"/>
        </w:numPr>
      </w:pPr>
      <w:r>
        <w:rPr>
          <w:lang w:bidi="es-US"/>
        </w:rPr>
        <w:t>estado de ocupación;</w:t>
      </w:r>
    </w:p>
    <w:p w14:paraId="514AF46E" w14:textId="681302F2" w:rsidR="007D6C79" w:rsidRDefault="0C9FB8B5" w:rsidP="00451662">
      <w:pPr>
        <w:pStyle w:val="PR3"/>
        <w:numPr>
          <w:ilvl w:val="4"/>
          <w:numId w:val="82"/>
        </w:numPr>
      </w:pPr>
      <w:r>
        <w:rPr>
          <w:lang w:bidi="es-US"/>
        </w:rPr>
        <w:t>nivel de luz del ambiente.</w:t>
      </w:r>
    </w:p>
    <w:p w14:paraId="43900F9B" w14:textId="77777777" w:rsidR="007D6C79" w:rsidRPr="003028B4" w:rsidRDefault="0C9FB8B5" w:rsidP="00451662">
      <w:pPr>
        <w:pStyle w:val="PR2"/>
      </w:pPr>
      <w:r>
        <w:rPr>
          <w:lang w:bidi="es-US"/>
        </w:rPr>
        <w:t xml:space="preserve">Indicadores LED: los indicadores LED siempre proporcionan un medio visual para verificar que se está detectando movimiento tanto durante las pruebas como durante el funcionamiento normal. </w:t>
      </w:r>
    </w:p>
    <w:p w14:paraId="08B37984" w14:textId="77777777" w:rsidR="007D6C79" w:rsidRPr="003028B4" w:rsidRDefault="0C9FB8B5" w:rsidP="00451662">
      <w:pPr>
        <w:pStyle w:val="PR2"/>
      </w:pPr>
      <w:r>
        <w:rPr>
          <w:lang w:bidi="es-US"/>
        </w:rPr>
        <w:t>Los sensores serán totalmente adaptables, con capacidad para ajustar a distancia la sensibilidad y la temporización a fin de garantizar un control óptimo de la iluminación para cualquier uso del espacio.</w:t>
      </w:r>
    </w:p>
    <w:p w14:paraId="68496603" w14:textId="77777777" w:rsidR="007D6C79" w:rsidRPr="003028B4" w:rsidRDefault="0C9FB8B5" w:rsidP="00451662">
      <w:pPr>
        <w:pStyle w:val="PR2"/>
      </w:pPr>
      <w:r>
        <w:rPr>
          <w:lang w:bidi="es-US"/>
        </w:rPr>
        <w:t>Los sensores tienen configuraciones ajustables a distancia para los niveles de atenuación, los niveles de luz para el espacio ocupado/desocupado, la detección de ocupación/desocupación y la sensibilidad a los cambios de movimiento y a los cambios en los niveles de luz del ambiente.</w:t>
      </w:r>
    </w:p>
    <w:p w14:paraId="62DB6F9B" w14:textId="77777777" w:rsidR="007D6C79" w:rsidRDefault="0C9FB8B5" w:rsidP="00451662">
      <w:pPr>
        <w:pStyle w:val="PR2"/>
      </w:pPr>
      <w:r>
        <w:rPr>
          <w:lang w:bidi="es-US"/>
        </w:rPr>
        <w:t>Los sensores pueden ajustar a distancia la potencia de la luz a niveles reducidos y permanecer así durante un período ajustable antes de apagarse cuando el espacio esté desocupado.</w:t>
      </w:r>
    </w:p>
    <w:p w14:paraId="7E2CC606" w14:textId="77777777" w:rsidR="00E14430" w:rsidRDefault="3B71BECD" w:rsidP="00451662">
      <w:pPr>
        <w:pStyle w:val="PR2"/>
      </w:pPr>
      <w:r>
        <w:rPr>
          <w:lang w:bidi="es-US"/>
        </w:rPr>
        <w:t xml:space="preserve">Normas/reglamentos medioambientales: </w:t>
      </w:r>
    </w:p>
    <w:p w14:paraId="2AF9DAF7" w14:textId="32333802" w:rsidR="00E14430" w:rsidRDefault="3B71BECD" w:rsidP="00451662">
      <w:pPr>
        <w:pStyle w:val="PR3"/>
        <w:numPr>
          <w:ilvl w:val="4"/>
          <w:numId w:val="83"/>
        </w:numPr>
      </w:pPr>
      <w:r>
        <w:rPr>
          <w:lang w:bidi="es-US"/>
        </w:rPr>
        <w:t>Certificación de UL (cULus).</w:t>
      </w:r>
    </w:p>
    <w:p w14:paraId="23B22448" w14:textId="19DC981A" w:rsidR="00E14430" w:rsidRDefault="3B71BECD" w:rsidP="00451662">
      <w:pPr>
        <w:pStyle w:val="PR3"/>
      </w:pPr>
      <w:r>
        <w:rPr>
          <w:lang w:bidi="es-US"/>
        </w:rPr>
        <w:t>RoHS</w:t>
      </w:r>
    </w:p>
    <w:p w14:paraId="4B44B383" w14:textId="77777777" w:rsidR="00451662" w:rsidRDefault="00451662" w:rsidP="00451662">
      <w:pPr>
        <w:pStyle w:val="PR1"/>
      </w:pPr>
      <w:r>
        <w:t>Sensor de ocupación de techo cableado de doble tecnología</w:t>
      </w:r>
    </w:p>
    <w:p w14:paraId="25A79071" w14:textId="77777777" w:rsidR="00451662" w:rsidRDefault="00451662" w:rsidP="00451662">
      <w:pPr>
        <w:pStyle w:val="PR2"/>
        <w:numPr>
          <w:ilvl w:val="0"/>
          <w:numId w:val="247"/>
        </w:numPr>
      </w:pPr>
      <w:r>
        <w:lastRenderedPageBreak/>
        <w:t xml:space="preserve"> Producto base de diseño: sensor de ocupación de techo </w:t>
      </w:r>
      <w:proofErr w:type="spellStart"/>
      <w:r>
        <w:t>WaveLinx</w:t>
      </w:r>
      <w:proofErr w:type="spellEnd"/>
      <w:r>
        <w:t xml:space="preserve"> CAT [OCS-C-D]</w:t>
      </w:r>
    </w:p>
    <w:p w14:paraId="285D0F73" w14:textId="77777777" w:rsidR="00451662" w:rsidRDefault="00451662" w:rsidP="00451662">
      <w:pPr>
        <w:pStyle w:val="PR2"/>
        <w:numPr>
          <w:ilvl w:val="0"/>
          <w:numId w:val="247"/>
        </w:numPr>
      </w:pPr>
      <w:r>
        <w:t>Comunicación:</w:t>
      </w:r>
    </w:p>
    <w:p w14:paraId="152684CC" w14:textId="77777777" w:rsidR="00451662" w:rsidRPr="00451662" w:rsidRDefault="00451662" w:rsidP="00451662">
      <w:pPr>
        <w:pStyle w:val="PR3"/>
        <w:numPr>
          <w:ilvl w:val="4"/>
          <w:numId w:val="248"/>
        </w:numPr>
      </w:pPr>
      <w:r w:rsidRPr="00451662">
        <w:t>Cable de red de bajo voltaje.</w:t>
      </w:r>
    </w:p>
    <w:p w14:paraId="01C14DAC" w14:textId="77777777" w:rsidR="00451662" w:rsidRDefault="00451662" w:rsidP="00451662">
      <w:pPr>
        <w:pStyle w:val="PR3"/>
        <w:numPr>
          <w:ilvl w:val="4"/>
          <w:numId w:val="248"/>
        </w:numPr>
      </w:pPr>
      <w:r w:rsidRPr="00451662">
        <w:t xml:space="preserve"> Puertos de comunicación:</w:t>
      </w:r>
      <w:r>
        <w:t xml:space="preserve"> 2 conectores RJ-45.</w:t>
      </w:r>
    </w:p>
    <w:p w14:paraId="6FCD5E81" w14:textId="77777777" w:rsidR="00451662" w:rsidRDefault="00451662" w:rsidP="00451662">
      <w:pPr>
        <w:pStyle w:val="PR2"/>
      </w:pPr>
      <w:r>
        <w:t>Voltaje de entrada: alimentación de bajo voltaje suministrada por cable de red de bajo voltaje.</w:t>
      </w:r>
    </w:p>
    <w:p w14:paraId="34AF5C59" w14:textId="77777777" w:rsidR="00451662" w:rsidRDefault="00451662" w:rsidP="00451662">
      <w:pPr>
        <w:pStyle w:val="PR2"/>
      </w:pPr>
      <w:r>
        <w:t>Tecnologías de detección:</w:t>
      </w:r>
    </w:p>
    <w:p w14:paraId="467698E0" w14:textId="77777777" w:rsidR="00451662" w:rsidRDefault="00451662" w:rsidP="00451662">
      <w:pPr>
        <w:pStyle w:val="PR3"/>
        <w:numPr>
          <w:ilvl w:val="4"/>
          <w:numId w:val="249"/>
        </w:numPr>
      </w:pPr>
      <w:r>
        <w:t>  Detección PIR:</w:t>
      </w:r>
    </w:p>
    <w:p w14:paraId="4ED39B59" w14:textId="77777777" w:rsidR="00451662" w:rsidRDefault="00451662" w:rsidP="00451662">
      <w:pPr>
        <w:pStyle w:val="PR4"/>
        <w:numPr>
          <w:ilvl w:val="7"/>
          <w:numId w:val="250"/>
        </w:numPr>
      </w:pPr>
      <w:r>
        <w:t>Lente PIR de segmentos múltiples, con ranuras internas para eliminar la acumulación de polvo y residuos.</w:t>
      </w:r>
    </w:p>
    <w:p w14:paraId="26FB743C" w14:textId="77777777" w:rsidR="00451662" w:rsidRDefault="00451662" w:rsidP="00451662">
      <w:pPr>
        <w:pStyle w:val="PR4"/>
        <w:numPr>
          <w:ilvl w:val="7"/>
          <w:numId w:val="250"/>
        </w:numPr>
      </w:pPr>
      <w:r>
        <w:t xml:space="preserve"> Productos probados de forma idéntica, conformes con las normas NEMA WD 7-2011 de sensores de movimiento de ocupación. </w:t>
      </w:r>
    </w:p>
    <w:p w14:paraId="17A6DF8A" w14:textId="77777777" w:rsidR="00451662" w:rsidRDefault="00451662" w:rsidP="00451662">
      <w:pPr>
        <w:pStyle w:val="PR4"/>
        <w:numPr>
          <w:ilvl w:val="7"/>
          <w:numId w:val="250"/>
        </w:numPr>
      </w:pPr>
      <w:r>
        <w:t xml:space="preserve"> 20 minutos de tiempo de retardo por defecto con la posibilidad de aumentarlo hasta 40 minutos.</w:t>
      </w:r>
    </w:p>
    <w:p w14:paraId="77DA7E61" w14:textId="77777777" w:rsidR="00451662" w:rsidRDefault="00451662" w:rsidP="00451662">
      <w:pPr>
        <w:pStyle w:val="PR3"/>
      </w:pPr>
      <w:r w:rsidRPr="00451662">
        <w:t>Acústic</w:t>
      </w:r>
      <w:r>
        <w:t>a</w:t>
      </w:r>
    </w:p>
    <w:p w14:paraId="142F59DC" w14:textId="77777777" w:rsidR="00451662" w:rsidRDefault="00451662" w:rsidP="00451662">
      <w:pPr>
        <w:pStyle w:val="PR4"/>
        <w:numPr>
          <w:ilvl w:val="7"/>
          <w:numId w:val="251"/>
        </w:numPr>
      </w:pPr>
      <w:r>
        <w:t xml:space="preserve">Medio secundario de detección de ocupación para detectar la ocupación sin línea de visión directa. </w:t>
      </w:r>
    </w:p>
    <w:p w14:paraId="779701BE" w14:textId="77777777" w:rsidR="00451662" w:rsidRDefault="00451662" w:rsidP="00451662">
      <w:pPr>
        <w:pStyle w:val="PR3"/>
      </w:pPr>
      <w:r>
        <w:t>Sensores de luz diurna:</w:t>
      </w:r>
    </w:p>
    <w:p w14:paraId="772AD865" w14:textId="77777777" w:rsidR="00451662" w:rsidRDefault="00451662" w:rsidP="00451662">
      <w:pPr>
        <w:pStyle w:val="PR4"/>
        <w:numPr>
          <w:ilvl w:val="7"/>
          <w:numId w:val="252"/>
        </w:numPr>
      </w:pPr>
      <w:r>
        <w:t>Sensor de luz diurna de bucle abierto</w:t>
      </w:r>
    </w:p>
    <w:p w14:paraId="41BC9CFE" w14:textId="77777777" w:rsidR="00451662" w:rsidRDefault="00451662" w:rsidP="00451662">
      <w:pPr>
        <w:pStyle w:val="PR4"/>
        <w:numPr>
          <w:ilvl w:val="7"/>
          <w:numId w:val="252"/>
        </w:numPr>
      </w:pPr>
      <w:r>
        <w:t>0-10,000 lux</w:t>
      </w:r>
    </w:p>
    <w:p w14:paraId="7BDF9150" w14:textId="77777777" w:rsidR="00451662" w:rsidRPr="00451662" w:rsidRDefault="00451662" w:rsidP="00451662">
      <w:pPr>
        <w:pStyle w:val="PR4"/>
        <w:numPr>
          <w:ilvl w:val="7"/>
          <w:numId w:val="252"/>
        </w:numPr>
      </w:pPr>
      <w:r w:rsidRPr="00451662">
        <w:t>Entrada de luz en cono de 60°</w:t>
      </w:r>
    </w:p>
    <w:p w14:paraId="4AD6B07C" w14:textId="77777777" w:rsidR="00451662" w:rsidRPr="00451662" w:rsidRDefault="00451662" w:rsidP="00451662">
      <w:pPr>
        <w:pStyle w:val="PR2"/>
      </w:pPr>
      <w:r w:rsidRPr="00451662">
        <w:t xml:space="preserve">Memoria de fallas de alimentación: el dispositivo incorporará una memoria no volátil. Las configuraciones y los parámetros guardados en la memoria protegida no se perderán en caso de que se interrumpa y posteriormente restablezca el suministro eléctrico. La programación se almacena en cada sensor además de en el controlador de área. </w:t>
      </w:r>
    </w:p>
    <w:p w14:paraId="293D59A5" w14:textId="77777777" w:rsidR="00451662" w:rsidRPr="00451662" w:rsidRDefault="00451662" w:rsidP="00451662">
      <w:pPr>
        <w:pStyle w:val="PR2"/>
      </w:pPr>
      <w:r w:rsidRPr="00451662">
        <w:t>El sensor comunica los siguientes datos al controlador de área:</w:t>
      </w:r>
    </w:p>
    <w:p w14:paraId="31A4C531" w14:textId="77777777" w:rsidR="00451662" w:rsidRPr="00451662" w:rsidRDefault="00451662" w:rsidP="00451662">
      <w:pPr>
        <w:pStyle w:val="PR3"/>
        <w:numPr>
          <w:ilvl w:val="4"/>
          <w:numId w:val="255"/>
        </w:numPr>
      </w:pPr>
      <w:r w:rsidRPr="00451662">
        <w:t xml:space="preserve"> estado de ocupación;</w:t>
      </w:r>
    </w:p>
    <w:p w14:paraId="192DAFC3" w14:textId="77777777" w:rsidR="00451662" w:rsidRPr="00451662" w:rsidRDefault="00451662" w:rsidP="00451662">
      <w:pPr>
        <w:pStyle w:val="PR3"/>
        <w:numPr>
          <w:ilvl w:val="4"/>
          <w:numId w:val="255"/>
        </w:numPr>
      </w:pPr>
      <w:r w:rsidRPr="00451662">
        <w:t>nivel de luz del ambiente.</w:t>
      </w:r>
    </w:p>
    <w:p w14:paraId="08BC7FD8" w14:textId="77777777" w:rsidR="00451662" w:rsidRPr="00451662" w:rsidRDefault="00451662" w:rsidP="00451662">
      <w:pPr>
        <w:pStyle w:val="PR2"/>
      </w:pPr>
      <w:r w:rsidRPr="00451662">
        <w:t xml:space="preserve">Indicadores LED: los indicadores LED siempre proporcionan un medio visual para verificar que se está detectando movimiento tanto durante las pruebas como durante el funcionamiento normal. </w:t>
      </w:r>
    </w:p>
    <w:p w14:paraId="42813731" w14:textId="77777777" w:rsidR="00451662" w:rsidRPr="00451662" w:rsidRDefault="00451662" w:rsidP="00451662">
      <w:pPr>
        <w:pStyle w:val="PR2"/>
      </w:pPr>
      <w:r w:rsidRPr="00451662">
        <w:t>Los sensores serán totalmente adaptables, con capacidad para ajustar a distancia la sensibilidad y la temporización a fin de garantizar un control óptimo de la iluminación para cualquier uso del espacio.</w:t>
      </w:r>
    </w:p>
    <w:p w14:paraId="722F35B4" w14:textId="77777777" w:rsidR="00451662" w:rsidRPr="00451662" w:rsidRDefault="00451662" w:rsidP="00451662">
      <w:pPr>
        <w:pStyle w:val="PR2"/>
      </w:pPr>
      <w:r w:rsidRPr="00451662">
        <w:t>Los sensores tienen configuraciones ajustables a distancia para los niveles de atenuación, los niveles de luz para el espacio ocupado/desocupado, la detección de ocupación/desocupación y la sensibilidad a los cambios de movimiento y a los cambios en los niveles de luz del ambiente.</w:t>
      </w:r>
    </w:p>
    <w:p w14:paraId="182C319B" w14:textId="77777777" w:rsidR="00451662" w:rsidRPr="00451662" w:rsidRDefault="00451662" w:rsidP="00451662">
      <w:pPr>
        <w:pStyle w:val="PR2"/>
      </w:pPr>
      <w:r w:rsidRPr="00451662">
        <w:t>Los sensores pueden ajustar a distancia la potencia de la luz a niveles reducidos y permanecer así durante un período ajustable antes de apagarse cuando el espacio esté desocupado.</w:t>
      </w:r>
    </w:p>
    <w:p w14:paraId="223E1064" w14:textId="7277BA7B" w:rsidR="00451662" w:rsidRPr="00451662" w:rsidRDefault="00451662" w:rsidP="00451662">
      <w:pPr>
        <w:pStyle w:val="PR2"/>
      </w:pPr>
      <w:r w:rsidRPr="00451662">
        <w:t>Normas/reglamentos medioambientales:</w:t>
      </w:r>
    </w:p>
    <w:p w14:paraId="0BF98D79" w14:textId="77777777" w:rsidR="00451662" w:rsidRPr="00451662" w:rsidRDefault="00451662" w:rsidP="00451662">
      <w:pPr>
        <w:pStyle w:val="PR3"/>
        <w:numPr>
          <w:ilvl w:val="4"/>
          <w:numId w:val="256"/>
        </w:numPr>
      </w:pPr>
      <w:r w:rsidRPr="00451662">
        <w:rPr>
          <w:lang w:bidi="es-US"/>
        </w:rPr>
        <w:t>Certificación de UL (</w:t>
      </w:r>
      <w:proofErr w:type="spellStart"/>
      <w:r w:rsidRPr="00451662">
        <w:rPr>
          <w:lang w:bidi="es-US"/>
        </w:rPr>
        <w:t>cULus</w:t>
      </w:r>
      <w:proofErr w:type="spellEnd"/>
      <w:r w:rsidRPr="00451662">
        <w:rPr>
          <w:lang w:bidi="es-US"/>
        </w:rPr>
        <w:t>).</w:t>
      </w:r>
    </w:p>
    <w:p w14:paraId="52FB4100" w14:textId="6C9B49D5" w:rsidR="00451662" w:rsidRPr="00451662" w:rsidRDefault="00451662" w:rsidP="00451662">
      <w:pPr>
        <w:pStyle w:val="PR3"/>
        <w:numPr>
          <w:ilvl w:val="4"/>
          <w:numId w:val="256"/>
        </w:numPr>
      </w:pPr>
      <w:r w:rsidRPr="00451662">
        <w:t>RoHS</w:t>
      </w:r>
    </w:p>
    <w:p w14:paraId="2B8CE1DA" w14:textId="77777777" w:rsidR="00C81B3D" w:rsidRDefault="6FBF55DB" w:rsidP="006868A5">
      <w:pPr>
        <w:pStyle w:val="PR1"/>
        <w:numPr>
          <w:ilvl w:val="0"/>
          <w:numId w:val="63"/>
        </w:numPr>
      </w:pPr>
      <w:r>
        <w:rPr>
          <w:lang w:bidi="es-US"/>
        </w:rPr>
        <w:t>Interfaz de control con pantalla táctil</w:t>
      </w:r>
    </w:p>
    <w:p w14:paraId="68983CE2" w14:textId="6A5581A3" w:rsidR="00EF4AD8" w:rsidRDefault="1415A137" w:rsidP="00451662">
      <w:pPr>
        <w:pStyle w:val="PR2"/>
        <w:numPr>
          <w:ilvl w:val="0"/>
          <w:numId w:val="84"/>
        </w:numPr>
      </w:pPr>
      <w:r>
        <w:rPr>
          <w:lang w:bidi="es-US"/>
        </w:rPr>
        <w:t xml:space="preserve">Producto base de diseño: </w:t>
      </w:r>
      <w:r w:rsidR="002E55BA">
        <w:rPr>
          <w:lang w:bidi="es-US"/>
        </w:rPr>
        <w:t>p</w:t>
      </w:r>
      <w:r>
        <w:rPr>
          <w:lang w:bidi="es-US"/>
        </w:rPr>
        <w:t xml:space="preserve">antalla táctil [TSE57-WLX-B] </w:t>
      </w:r>
    </w:p>
    <w:p w14:paraId="5E7E81CB" w14:textId="77777777" w:rsidR="00C81B3D" w:rsidRDefault="6FBF55DB" w:rsidP="00451662">
      <w:pPr>
        <w:pStyle w:val="PR2"/>
      </w:pPr>
      <w:r>
        <w:rPr>
          <w:lang w:bidi="es-US"/>
        </w:rPr>
        <w:t>Comunicación: Ethernet</w:t>
      </w:r>
    </w:p>
    <w:p w14:paraId="3646305F" w14:textId="246BCA00" w:rsidR="00C81B3D" w:rsidRPr="003028B4" w:rsidRDefault="6FBF55DB" w:rsidP="00451662">
      <w:pPr>
        <w:pStyle w:val="PR2"/>
      </w:pPr>
      <w:r>
        <w:rPr>
          <w:lang w:bidi="es-US"/>
        </w:rPr>
        <w:t xml:space="preserve">Alimentación de entrada: </w:t>
      </w:r>
      <w:r w:rsidR="002E55BA" w:rsidRPr="002E55BA">
        <w:rPr>
          <w:lang w:bidi="es-US"/>
        </w:rPr>
        <w:t>alimentación</w:t>
      </w:r>
      <w:r>
        <w:rPr>
          <w:lang w:bidi="es-US"/>
        </w:rPr>
        <w:t xml:space="preserve"> a través de Ethernet (PoE-IEEE 802.3af) </w:t>
      </w:r>
    </w:p>
    <w:p w14:paraId="3DBA8E5E" w14:textId="38926722" w:rsidR="00C81B3D" w:rsidRDefault="6FBF55DB" w:rsidP="00451662">
      <w:pPr>
        <w:pStyle w:val="PR2"/>
      </w:pPr>
      <w:r>
        <w:rPr>
          <w:lang w:bidi="es-US"/>
        </w:rPr>
        <w:t xml:space="preserve">Pantalla: </w:t>
      </w:r>
      <w:r w:rsidR="002E55BA">
        <w:rPr>
          <w:lang w:bidi="es-US"/>
        </w:rPr>
        <w:t>p</w:t>
      </w:r>
      <w:r>
        <w:rPr>
          <w:lang w:bidi="es-US"/>
        </w:rPr>
        <w:t>antalla táctil capacitiva de 5.7” en diagonal</w:t>
      </w:r>
    </w:p>
    <w:p w14:paraId="38F48E88" w14:textId="77777777" w:rsidR="00C81B3D" w:rsidRPr="003028B4" w:rsidRDefault="6FBF55DB" w:rsidP="00451662">
      <w:pPr>
        <w:pStyle w:val="PR2"/>
      </w:pPr>
      <w:r>
        <w:rPr>
          <w:lang w:bidi="es-US"/>
        </w:rPr>
        <w:t>Montaje: se instala en una caja de pared de banda única estándar.</w:t>
      </w:r>
    </w:p>
    <w:p w14:paraId="190CBDD7" w14:textId="143026BC" w:rsidR="00C81B3D" w:rsidRPr="00321F72" w:rsidRDefault="6FBF55DB" w:rsidP="00451662">
      <w:pPr>
        <w:pStyle w:val="PR2"/>
      </w:pPr>
      <w:r w:rsidRPr="00321F72">
        <w:rPr>
          <w:lang w:bidi="es-US"/>
        </w:rPr>
        <w:t xml:space="preserve">La pantalla táctil ofrece las siguientes funciones: </w:t>
      </w:r>
    </w:p>
    <w:p w14:paraId="65C89151" w14:textId="10A7769A" w:rsidR="00C81B3D" w:rsidRPr="00321F72" w:rsidRDefault="6FBF55DB" w:rsidP="00451662">
      <w:pPr>
        <w:pStyle w:val="PR3"/>
        <w:numPr>
          <w:ilvl w:val="4"/>
          <w:numId w:val="86"/>
        </w:numPr>
      </w:pPr>
      <w:r w:rsidRPr="00321F72">
        <w:rPr>
          <w:lang w:bidi="es-US"/>
        </w:rPr>
        <w:lastRenderedPageBreak/>
        <w:t>enviar comandos de escena definidos por el usuario o preconfigurados a un área;</w:t>
      </w:r>
    </w:p>
    <w:p w14:paraId="600F3F13" w14:textId="47755D2A" w:rsidR="00C81B3D" w:rsidRPr="00321F72" w:rsidRDefault="6FBF55DB" w:rsidP="00451662">
      <w:pPr>
        <w:pStyle w:val="PR3"/>
      </w:pPr>
      <w:r w:rsidRPr="00321F72">
        <w:rPr>
          <w:lang w:bidi="es-US"/>
        </w:rPr>
        <w:t>modificar los niveles de luz de un área o zona;</w:t>
      </w:r>
    </w:p>
    <w:p w14:paraId="6B9E6550" w14:textId="338CD996" w:rsidR="00C81B3D" w:rsidRPr="00321F72" w:rsidRDefault="6FBF55DB" w:rsidP="00451662">
      <w:pPr>
        <w:pStyle w:val="PR3"/>
      </w:pPr>
      <w:r w:rsidRPr="00321F72">
        <w:rPr>
          <w:lang w:bidi="es-US"/>
        </w:rPr>
        <w:t>modificar las temperaturas de color de la iluminación de una habitación o zona.</w:t>
      </w:r>
    </w:p>
    <w:p w14:paraId="679EB888" w14:textId="0C07027B" w:rsidR="00B96DA6" w:rsidRPr="00321F72" w:rsidRDefault="5C8BEC4E" w:rsidP="006868A5">
      <w:pPr>
        <w:pStyle w:val="PR1"/>
        <w:numPr>
          <w:ilvl w:val="0"/>
          <w:numId w:val="63"/>
        </w:numPr>
      </w:pPr>
      <w:r w:rsidRPr="00321F72">
        <w:rPr>
          <w:lang w:bidi="es-US"/>
        </w:rPr>
        <w:t>Dispositivo de programación Bluetooth de baja energía con cable</w:t>
      </w:r>
    </w:p>
    <w:p w14:paraId="29714946" w14:textId="77777777" w:rsidR="0085490E" w:rsidRPr="00321F72" w:rsidRDefault="5C8BEC4E" w:rsidP="00451662">
      <w:pPr>
        <w:pStyle w:val="PR2"/>
        <w:numPr>
          <w:ilvl w:val="0"/>
          <w:numId w:val="87"/>
        </w:numPr>
      </w:pPr>
      <w:r w:rsidRPr="00321F72">
        <w:rPr>
          <w:lang w:bidi="es-US"/>
        </w:rPr>
        <w:t xml:space="preserve">Producto base de diseño: módulo de interfaz de programación Bluetooth WaveLinx [BPI-C] </w:t>
      </w:r>
    </w:p>
    <w:p w14:paraId="66930546" w14:textId="1D4CE170" w:rsidR="009775A8" w:rsidRPr="00321F72" w:rsidRDefault="23902140" w:rsidP="00451662">
      <w:pPr>
        <w:pStyle w:val="PR2"/>
        <w:numPr>
          <w:ilvl w:val="0"/>
          <w:numId w:val="87"/>
        </w:numPr>
      </w:pPr>
      <w:r w:rsidRPr="00321F72">
        <w:rPr>
          <w:lang w:bidi="es-US"/>
        </w:rPr>
        <w:t xml:space="preserve">Comunicación: </w:t>
      </w:r>
    </w:p>
    <w:p w14:paraId="561396AC" w14:textId="67C9B5C0" w:rsidR="009775A8" w:rsidRPr="00321F72" w:rsidRDefault="23902140" w:rsidP="00451662">
      <w:pPr>
        <w:pStyle w:val="PR3"/>
        <w:numPr>
          <w:ilvl w:val="4"/>
          <w:numId w:val="89"/>
        </w:numPr>
      </w:pPr>
      <w:r w:rsidRPr="00321F72">
        <w:rPr>
          <w:lang w:bidi="es-US"/>
        </w:rPr>
        <w:t>cable de red de bajo voltaje utilizado para comunicarse con otros dispositivos cableados;</w:t>
      </w:r>
    </w:p>
    <w:p w14:paraId="17095E4B" w14:textId="518AEF8D" w:rsidR="009775A8" w:rsidRPr="00321F72" w:rsidRDefault="16989F80" w:rsidP="00451662">
      <w:pPr>
        <w:pStyle w:val="PR3"/>
      </w:pPr>
      <w:r w:rsidRPr="00321F72">
        <w:rPr>
          <w:lang w:bidi="es-US"/>
        </w:rPr>
        <w:t>comunicación Bluetooth que permite la conexión desde una aplicación de teléfono inteligente para programar las configuraciones de los dispositivos dentro de la zona local en cadena margarita.</w:t>
      </w:r>
    </w:p>
    <w:p w14:paraId="287C3047" w14:textId="77777777" w:rsidR="008D79E7" w:rsidRPr="00321F72" w:rsidRDefault="23902140" w:rsidP="00451662">
      <w:pPr>
        <w:pStyle w:val="PR2"/>
      </w:pPr>
      <w:r w:rsidRPr="00321F72">
        <w:rPr>
          <w:lang w:bidi="es-US"/>
        </w:rPr>
        <w:t>Puertos de comunicación: 2 conectores RJ-45.</w:t>
      </w:r>
    </w:p>
    <w:p w14:paraId="3F54D176" w14:textId="32AA0A94" w:rsidR="008D79E7" w:rsidRPr="00321F72" w:rsidRDefault="23902140" w:rsidP="00451662">
      <w:pPr>
        <w:pStyle w:val="PR2"/>
      </w:pPr>
      <w:r w:rsidRPr="00321F72">
        <w:rPr>
          <w:lang w:bidi="es-US"/>
        </w:rPr>
        <w:t xml:space="preserve">Voltaje de entrada: </w:t>
      </w:r>
      <w:r w:rsidR="002E55BA" w:rsidRPr="00321F72">
        <w:rPr>
          <w:lang w:bidi="es-US"/>
        </w:rPr>
        <w:t>alimentación</w:t>
      </w:r>
      <w:r w:rsidRPr="00321F72">
        <w:rPr>
          <w:lang w:bidi="es-US"/>
        </w:rPr>
        <w:t xml:space="preserve"> de bajo voltaje suministrada por cable de red de bajo voltaje.</w:t>
      </w:r>
    </w:p>
    <w:p w14:paraId="2524FCDD" w14:textId="0FFCEB2C" w:rsidR="00B96DA6" w:rsidRPr="00321F72" w:rsidRDefault="640D8039" w:rsidP="00451662">
      <w:pPr>
        <w:pStyle w:val="PR2"/>
      </w:pPr>
      <w:r w:rsidRPr="00321F72">
        <w:rPr>
          <w:lang w:bidi="es-US"/>
        </w:rPr>
        <w:t>Indicadores LED: LED integrado en el dispositivo que proporciona una indicación visual de la conexión Bluetooth remota.</w:t>
      </w:r>
    </w:p>
    <w:p w14:paraId="3AD06370" w14:textId="4F42FCC5" w:rsidR="008D79E7" w:rsidRPr="00321F72" w:rsidRDefault="23902140" w:rsidP="00451662">
      <w:pPr>
        <w:pStyle w:val="PR2"/>
      </w:pPr>
      <w:r w:rsidRPr="00321F72">
        <w:rPr>
          <w:lang w:bidi="es-US"/>
        </w:rPr>
        <w:t>Montaje: clasificación plenum, cableado en línea y montaje con tornillos.</w:t>
      </w:r>
    </w:p>
    <w:p w14:paraId="448E7B9B" w14:textId="1A78B0C9" w:rsidR="00C479C8" w:rsidRPr="00321F72" w:rsidRDefault="3C9DF108" w:rsidP="006868A5">
      <w:pPr>
        <w:pStyle w:val="PR1"/>
        <w:numPr>
          <w:ilvl w:val="0"/>
          <w:numId w:val="63"/>
        </w:numPr>
      </w:pPr>
      <w:r w:rsidRPr="00321F72">
        <w:rPr>
          <w:lang w:bidi="es-US"/>
        </w:rPr>
        <w:t>Módulo de interfaz cableado del sensor</w:t>
      </w:r>
    </w:p>
    <w:p w14:paraId="4E7D8FEA" w14:textId="77777777" w:rsidR="0085490E" w:rsidRPr="00321F72" w:rsidRDefault="3C9DF108" w:rsidP="00451662">
      <w:pPr>
        <w:pStyle w:val="PR2"/>
        <w:numPr>
          <w:ilvl w:val="0"/>
          <w:numId w:val="90"/>
        </w:numPr>
      </w:pPr>
      <w:r w:rsidRPr="00321F72">
        <w:rPr>
          <w:lang w:bidi="es-US"/>
        </w:rPr>
        <w:t xml:space="preserve">Producto base de diseño: módulo de interfaz del sensor WaveLinx CAT [SIM-C-V]. </w:t>
      </w:r>
    </w:p>
    <w:p w14:paraId="2E2E5FE3" w14:textId="3FF8FFE3" w:rsidR="00C479C8" w:rsidRPr="00321F72" w:rsidRDefault="3C9DF108" w:rsidP="00451662">
      <w:pPr>
        <w:pStyle w:val="PR2"/>
        <w:numPr>
          <w:ilvl w:val="0"/>
          <w:numId w:val="90"/>
        </w:numPr>
      </w:pPr>
      <w:r w:rsidRPr="00321F72">
        <w:rPr>
          <w:lang w:bidi="es-US"/>
        </w:rPr>
        <w:t xml:space="preserve">Comunicación: </w:t>
      </w:r>
    </w:p>
    <w:p w14:paraId="0E77BCF5" w14:textId="31042215" w:rsidR="00C479C8" w:rsidRPr="00321F72" w:rsidRDefault="002E55BA" w:rsidP="00451662">
      <w:pPr>
        <w:pStyle w:val="PR3"/>
        <w:numPr>
          <w:ilvl w:val="4"/>
          <w:numId w:val="92"/>
        </w:numPr>
      </w:pPr>
      <w:r w:rsidRPr="00321F72">
        <w:rPr>
          <w:lang w:bidi="es-US"/>
        </w:rPr>
        <w:t>C</w:t>
      </w:r>
      <w:r w:rsidR="3C9DF108" w:rsidRPr="00321F72">
        <w:rPr>
          <w:lang w:bidi="es-US"/>
        </w:rPr>
        <w:t>able de red de bajo voltaje utilizado para comunicarse con otros dispositivos cableados</w:t>
      </w:r>
      <w:r w:rsidRPr="00321F72">
        <w:rPr>
          <w:lang w:bidi="es-US"/>
        </w:rPr>
        <w:t>.</w:t>
      </w:r>
    </w:p>
    <w:p w14:paraId="3DE90DD4" w14:textId="78203DCE" w:rsidR="00C479C8" w:rsidRPr="00321F72" w:rsidRDefault="3C9DF108" w:rsidP="00451662">
      <w:pPr>
        <w:pStyle w:val="PR3"/>
      </w:pPr>
      <w:r w:rsidRPr="00321F72">
        <w:rPr>
          <w:lang w:bidi="es-US"/>
        </w:rPr>
        <w:t>Puertos de comunicación: 2 conectores RJ-45.</w:t>
      </w:r>
    </w:p>
    <w:p w14:paraId="30C4444D" w14:textId="47F7FBE0" w:rsidR="00C479C8" w:rsidRPr="003028B4" w:rsidRDefault="3C9DF108" w:rsidP="00451662">
      <w:pPr>
        <w:pStyle w:val="PR2"/>
      </w:pPr>
      <w:r>
        <w:rPr>
          <w:lang w:bidi="es-US"/>
        </w:rPr>
        <w:t xml:space="preserve">Voltaje de entrada: </w:t>
      </w:r>
      <w:r w:rsidR="002E55BA" w:rsidRPr="002E55BA">
        <w:rPr>
          <w:lang w:bidi="es-US"/>
        </w:rPr>
        <w:t>alimentación</w:t>
      </w:r>
      <w:r>
        <w:rPr>
          <w:lang w:bidi="es-US"/>
        </w:rPr>
        <w:t xml:space="preserve"> de bajo voltaje suministrada por cable de red de bajo voltaje.</w:t>
      </w:r>
    </w:p>
    <w:p w14:paraId="7E1ADDEE" w14:textId="3A6C5005" w:rsidR="00AE25D7" w:rsidRDefault="45594698" w:rsidP="00451662">
      <w:pPr>
        <w:pStyle w:val="PR2"/>
      </w:pPr>
      <w:r>
        <w:rPr>
          <w:lang w:bidi="es-US"/>
        </w:rPr>
        <w:t>Entradas de sensores: 1 x entrada del sensor y salida de alimentación al sensor.</w:t>
      </w:r>
    </w:p>
    <w:p w14:paraId="6125D2E8" w14:textId="38364FF9" w:rsidR="00C479C8" w:rsidRDefault="3C9DF108" w:rsidP="00451662">
      <w:pPr>
        <w:pStyle w:val="PR2"/>
      </w:pPr>
      <w:r>
        <w:rPr>
          <w:lang w:bidi="es-US"/>
        </w:rPr>
        <w:t>Indicadores LED: LED integrado en el dispositivo que proporciona una indicación visual de la conexión Bluetooth remota.</w:t>
      </w:r>
    </w:p>
    <w:p w14:paraId="06082D0E" w14:textId="256348D2" w:rsidR="32CC9AA4" w:rsidRDefault="569051E2" w:rsidP="00451662">
      <w:pPr>
        <w:pStyle w:val="PR2"/>
      </w:pPr>
      <w:r>
        <w:rPr>
          <w:lang w:bidi="es-US"/>
        </w:rPr>
        <w:t xml:space="preserve">Pulsador: para permitir apagar el módulo, realizar un restablecimiento suave o a valores de fábrica. </w:t>
      </w:r>
    </w:p>
    <w:p w14:paraId="7A75415B" w14:textId="77777777" w:rsidR="00C479C8" w:rsidRDefault="3C9DF108" w:rsidP="00451662">
      <w:pPr>
        <w:pStyle w:val="PR2"/>
      </w:pPr>
      <w:r>
        <w:rPr>
          <w:lang w:bidi="es-US"/>
        </w:rPr>
        <w:t>Montaje: clasificación plenum, cableado en línea y montaje con tornillos.</w:t>
      </w:r>
    </w:p>
    <w:p w14:paraId="10D388D9" w14:textId="77777777" w:rsidR="001B62AA" w:rsidRDefault="75298DEF" w:rsidP="00451662">
      <w:pPr>
        <w:pStyle w:val="PR2"/>
      </w:pPr>
      <w:r>
        <w:rPr>
          <w:lang w:bidi="es-US"/>
        </w:rPr>
        <w:t xml:space="preserve">Normas/reglamentos medioambientales: </w:t>
      </w:r>
    </w:p>
    <w:p w14:paraId="3E0FE1DD" w14:textId="52A39DE7" w:rsidR="001B62AA" w:rsidRDefault="75298DEF" w:rsidP="00451662">
      <w:pPr>
        <w:pStyle w:val="PR3"/>
        <w:numPr>
          <w:ilvl w:val="4"/>
          <w:numId w:val="93"/>
        </w:numPr>
      </w:pPr>
      <w:r>
        <w:rPr>
          <w:lang w:bidi="es-US"/>
        </w:rPr>
        <w:t>Certificación de UL (cULus).</w:t>
      </w:r>
    </w:p>
    <w:p w14:paraId="0E024F72" w14:textId="1FF0D3F6" w:rsidR="0039646F" w:rsidDel="000379AC" w:rsidRDefault="75298DEF" w:rsidP="00451662">
      <w:pPr>
        <w:pStyle w:val="PR3"/>
      </w:pPr>
      <w:r>
        <w:rPr>
          <w:lang w:bidi="es-US"/>
        </w:rPr>
        <w:t>RoHS</w:t>
      </w:r>
    </w:p>
    <w:p w14:paraId="471BE364" w14:textId="12EB0AC0" w:rsidR="00BB0D0B" w:rsidRPr="00F97F17" w:rsidRDefault="039C4AEC" w:rsidP="006868A5">
      <w:pPr>
        <w:pStyle w:val="PR1"/>
        <w:numPr>
          <w:ilvl w:val="0"/>
          <w:numId w:val="63"/>
        </w:numPr>
      </w:pPr>
      <w:r>
        <w:rPr>
          <w:lang w:bidi="es-US"/>
        </w:rPr>
        <w:t>Módulo de interfaz de cierre de contacto</w:t>
      </w:r>
    </w:p>
    <w:p w14:paraId="49B29A58" w14:textId="42367217" w:rsidR="0085490E" w:rsidRDefault="4C324EE1" w:rsidP="00451662">
      <w:pPr>
        <w:pStyle w:val="PR2"/>
        <w:numPr>
          <w:ilvl w:val="0"/>
          <w:numId w:val="94"/>
        </w:numPr>
      </w:pPr>
      <w:r>
        <w:rPr>
          <w:lang w:bidi="es-US"/>
        </w:rPr>
        <w:t xml:space="preserve">Producto base de diseño: </w:t>
      </w:r>
      <w:proofErr w:type="spellStart"/>
      <w:r w:rsidR="00321F72" w:rsidRPr="00321F72">
        <w:rPr>
          <w:lang w:bidi="es-US"/>
        </w:rPr>
        <w:t>WaveLinx</w:t>
      </w:r>
      <w:proofErr w:type="spellEnd"/>
      <w:r w:rsidR="00321F72" w:rsidRPr="00321F72">
        <w:rPr>
          <w:lang w:bidi="es-US"/>
        </w:rPr>
        <w:t xml:space="preserve"> CAT Cierre de contacto Módulo de interfaz </w:t>
      </w:r>
      <w:r>
        <w:rPr>
          <w:lang w:bidi="es-US"/>
        </w:rPr>
        <w:t xml:space="preserve">[CCI-C-V]. </w:t>
      </w:r>
    </w:p>
    <w:p w14:paraId="1EE79FFC" w14:textId="09241E7F" w:rsidR="00BB0D0B" w:rsidRDefault="4C324EE1" w:rsidP="00451662">
      <w:pPr>
        <w:pStyle w:val="PR2"/>
        <w:numPr>
          <w:ilvl w:val="0"/>
          <w:numId w:val="94"/>
        </w:numPr>
      </w:pPr>
      <w:r>
        <w:rPr>
          <w:lang w:bidi="es-US"/>
        </w:rPr>
        <w:t xml:space="preserve">Comunicación: </w:t>
      </w:r>
    </w:p>
    <w:p w14:paraId="1E511E00" w14:textId="460DC2DC" w:rsidR="00BB0D0B" w:rsidRDefault="002E55BA" w:rsidP="00451662">
      <w:pPr>
        <w:pStyle w:val="PR3"/>
        <w:numPr>
          <w:ilvl w:val="4"/>
          <w:numId w:val="96"/>
        </w:numPr>
      </w:pPr>
      <w:r>
        <w:rPr>
          <w:lang w:bidi="es-US"/>
        </w:rPr>
        <w:t>C</w:t>
      </w:r>
      <w:r w:rsidR="4C324EE1">
        <w:rPr>
          <w:lang w:bidi="es-US"/>
        </w:rPr>
        <w:t>able de red de bajo voltaje utilizado para comunicarse con otros dispositivos cableados</w:t>
      </w:r>
      <w:r>
        <w:rPr>
          <w:lang w:bidi="es-US"/>
        </w:rPr>
        <w:t>.</w:t>
      </w:r>
    </w:p>
    <w:p w14:paraId="776B510B" w14:textId="31657B75" w:rsidR="00BB0D0B" w:rsidRDefault="4C324EE1" w:rsidP="00451662">
      <w:pPr>
        <w:pStyle w:val="PR3"/>
        <w:numPr>
          <w:ilvl w:val="4"/>
          <w:numId w:val="96"/>
        </w:numPr>
      </w:pPr>
      <w:r>
        <w:rPr>
          <w:lang w:bidi="es-US"/>
        </w:rPr>
        <w:t>Puertos de comunicación: 2 conectores RJ-45.</w:t>
      </w:r>
    </w:p>
    <w:p w14:paraId="6B110050" w14:textId="3EF49934" w:rsidR="00BB0D0B" w:rsidRPr="003028B4" w:rsidRDefault="4C324EE1" w:rsidP="00451662">
      <w:pPr>
        <w:pStyle w:val="PR2"/>
      </w:pPr>
      <w:r>
        <w:rPr>
          <w:lang w:bidi="es-US"/>
        </w:rPr>
        <w:t xml:space="preserve">Voltaje de entrada: </w:t>
      </w:r>
      <w:r w:rsidR="002E55BA" w:rsidRPr="002E55BA">
        <w:rPr>
          <w:lang w:bidi="es-US"/>
        </w:rPr>
        <w:t>alimentación</w:t>
      </w:r>
      <w:r>
        <w:rPr>
          <w:lang w:bidi="es-US"/>
        </w:rPr>
        <w:t xml:space="preserve"> de bajo voltaje suministrada por cable de red de bajo voltaje.</w:t>
      </w:r>
    </w:p>
    <w:p w14:paraId="0645FDDE" w14:textId="2569A800" w:rsidR="00BB0D0B" w:rsidRDefault="506F4F17" w:rsidP="00451662">
      <w:pPr>
        <w:pStyle w:val="PR2"/>
      </w:pPr>
      <w:r>
        <w:rPr>
          <w:lang w:bidi="es-US"/>
        </w:rPr>
        <w:t>Entradas del cierre de contacto: 4 x entradas de contacto seco momentáneas o mantenidas.</w:t>
      </w:r>
    </w:p>
    <w:p w14:paraId="4628EA6A" w14:textId="77777777" w:rsidR="00BB0D0B" w:rsidRDefault="4C324EE1" w:rsidP="00451662">
      <w:pPr>
        <w:pStyle w:val="PR2"/>
      </w:pPr>
      <w:r>
        <w:rPr>
          <w:lang w:bidi="es-US"/>
        </w:rPr>
        <w:t>Indicadores LED: LED integrado en el dispositivo que proporciona una indicación visual de la conexión Bluetooth remota.</w:t>
      </w:r>
    </w:p>
    <w:p w14:paraId="2AB5CA43" w14:textId="77777777" w:rsidR="00BB0D0B" w:rsidRDefault="4C324EE1" w:rsidP="00451662">
      <w:pPr>
        <w:pStyle w:val="PR2"/>
      </w:pPr>
      <w:r>
        <w:rPr>
          <w:lang w:bidi="es-US"/>
        </w:rPr>
        <w:t>Montaje: clasificación plenum, cableado en línea y montaje con tornillos.</w:t>
      </w:r>
    </w:p>
    <w:p w14:paraId="7F3A50C2" w14:textId="458D2D64" w:rsidR="00475B9D" w:rsidRPr="00953789" w:rsidRDefault="4C324EE1" w:rsidP="00451662">
      <w:pPr>
        <w:pStyle w:val="PR2"/>
      </w:pPr>
      <w:r>
        <w:rPr>
          <w:lang w:bidi="es-US"/>
        </w:rPr>
        <w:lastRenderedPageBreak/>
        <w:t xml:space="preserve">Normas/reglamentos medioambientales: </w:t>
      </w:r>
    </w:p>
    <w:p w14:paraId="048BED92" w14:textId="1BA870C7" w:rsidR="00475B9D" w:rsidRPr="00953789" w:rsidRDefault="4C324EE1" w:rsidP="00451662">
      <w:pPr>
        <w:pStyle w:val="PR3"/>
        <w:numPr>
          <w:ilvl w:val="4"/>
          <w:numId w:val="97"/>
        </w:numPr>
      </w:pPr>
      <w:r>
        <w:rPr>
          <w:lang w:bidi="es-US"/>
        </w:rPr>
        <w:t>Certificación de UL (cULus).</w:t>
      </w:r>
    </w:p>
    <w:p w14:paraId="7128AA8A" w14:textId="77777777" w:rsidR="00191A93" w:rsidRPr="00451662" w:rsidRDefault="7D164A44" w:rsidP="00451662">
      <w:pPr>
        <w:pStyle w:val="PR3"/>
        <w:numPr>
          <w:ilvl w:val="4"/>
          <w:numId w:val="97"/>
        </w:numPr>
        <w:rPr>
          <w:b/>
          <w:bCs/>
        </w:rPr>
      </w:pPr>
      <w:r>
        <w:rPr>
          <w:lang w:bidi="es-US"/>
        </w:rPr>
        <w:t>RoHS</w:t>
      </w:r>
      <w:bookmarkStart w:id="0" w:name="_Hlk20654970"/>
      <w:bookmarkEnd w:id="0"/>
    </w:p>
    <w:p w14:paraId="7609FE1D" w14:textId="3EEB4913" w:rsidR="00191A93" w:rsidRPr="005A6F5A" w:rsidRDefault="00A36F3D" w:rsidP="005A6F5A">
      <w:pPr>
        <w:pStyle w:val="Heading2"/>
      </w:pPr>
      <w:r w:rsidRPr="00A36F3D">
        <w:rPr>
          <w:lang w:bidi="es-US"/>
        </w:rPr>
        <w:t>PANEL DE RELÉS EN RED</w:t>
      </w:r>
    </w:p>
    <w:p w14:paraId="5B2609FF" w14:textId="1D1E69DD" w:rsidR="00475B9D" w:rsidRPr="00953789" w:rsidRDefault="20CB0E6D" w:rsidP="006868A5">
      <w:pPr>
        <w:pStyle w:val="PR1"/>
        <w:numPr>
          <w:ilvl w:val="0"/>
          <w:numId w:val="98"/>
        </w:numPr>
      </w:pPr>
      <w:r>
        <w:rPr>
          <w:lang w:bidi="es-US"/>
        </w:rPr>
        <w:t>Recinto</w:t>
      </w:r>
    </w:p>
    <w:p w14:paraId="569C1996" w14:textId="77777777" w:rsidR="00475B9D" w:rsidRPr="00A36F3D" w:rsidRDefault="20CB0E6D" w:rsidP="00451662">
      <w:pPr>
        <w:pStyle w:val="PR2"/>
        <w:numPr>
          <w:ilvl w:val="0"/>
          <w:numId w:val="99"/>
        </w:numPr>
      </w:pPr>
      <w:r w:rsidRPr="00A36F3D">
        <w:rPr>
          <w:lang w:bidi="es-US"/>
        </w:rPr>
        <w:t>Producto base de diseño: Panel de relés en red WaveLinx con atenuación 0-10 V.</w:t>
      </w:r>
    </w:p>
    <w:p w14:paraId="1FA482ED" w14:textId="64321744" w:rsidR="00475B9D" w:rsidRPr="00A36F3D" w:rsidRDefault="20CB0E6D" w:rsidP="00451662">
      <w:pPr>
        <w:pStyle w:val="PR2"/>
        <w:numPr>
          <w:ilvl w:val="0"/>
          <w:numId w:val="0"/>
        </w:numPr>
        <w:ind w:left="1584"/>
      </w:pPr>
      <w:r w:rsidRPr="00A36F3D">
        <w:rPr>
          <w:lang w:bidi="es-US"/>
        </w:rPr>
        <w:t xml:space="preserve">[PLE-*] </w:t>
      </w:r>
    </w:p>
    <w:p w14:paraId="43C720EB" w14:textId="77777777" w:rsidR="00C27EF2" w:rsidRPr="00A36F3D" w:rsidRDefault="7352743D" w:rsidP="00451662">
      <w:pPr>
        <w:pStyle w:val="PR2"/>
      </w:pPr>
      <w:r w:rsidRPr="00A36F3D">
        <w:rPr>
          <w:lang w:bidi="es-US"/>
        </w:rPr>
        <w:t>Hasta 64 relés y canales de atenuación.</w:t>
      </w:r>
    </w:p>
    <w:p w14:paraId="4946B2A2" w14:textId="77777777" w:rsidR="00C27EF2" w:rsidRPr="00A36F3D" w:rsidRDefault="7352743D" w:rsidP="00451662">
      <w:pPr>
        <w:pStyle w:val="PR2"/>
      </w:pPr>
      <w:r w:rsidRPr="00A36F3D">
        <w:rPr>
          <w:lang w:bidi="es-US"/>
        </w:rPr>
        <w:t xml:space="preserve">Disponible en diferentes tamaños de recintos. </w:t>
      </w:r>
    </w:p>
    <w:p w14:paraId="532EC1A1" w14:textId="63DC6F89" w:rsidR="00C27EF2" w:rsidRPr="00A36F3D" w:rsidRDefault="7352743D" w:rsidP="00451662">
      <w:pPr>
        <w:pStyle w:val="PR2"/>
      </w:pPr>
      <w:r w:rsidRPr="00A36F3D">
        <w:rPr>
          <w:lang w:bidi="es-US"/>
        </w:rPr>
        <w:t>Voltaje de entrada: 120/277/347 VCA.</w:t>
      </w:r>
    </w:p>
    <w:p w14:paraId="12969338" w14:textId="207E3E21" w:rsidR="00E978C5" w:rsidRPr="00A36F3D" w:rsidRDefault="68D8B529" w:rsidP="00451662">
      <w:pPr>
        <w:pStyle w:val="PR2"/>
      </w:pPr>
      <w:r w:rsidRPr="00A36F3D">
        <w:rPr>
          <w:lang w:bidi="es-US"/>
        </w:rPr>
        <w:t>Cada recinto estará provisto de un recinto de acero galvanizado NEMA 1 con una cubierta atornillada extraíble. También contará con orificios ciegos de 1/2 in (1.27 cm) y orificios de montaje previamente realizados.</w:t>
      </w:r>
    </w:p>
    <w:p w14:paraId="44672BB6" w14:textId="640E45BF" w:rsidR="00941153" w:rsidRPr="00A36F3D" w:rsidRDefault="0ABE38F7" w:rsidP="00451662">
      <w:pPr>
        <w:pStyle w:val="PR2"/>
      </w:pPr>
      <w:r w:rsidRPr="00A36F3D">
        <w:rPr>
          <w:lang w:bidi="es-US"/>
        </w:rPr>
        <w:t>Clasificación plenum</w:t>
      </w:r>
    </w:p>
    <w:p w14:paraId="4C2D9FD0" w14:textId="2D3757F6" w:rsidR="00582B14" w:rsidRPr="00A36F3D" w:rsidRDefault="0A4196EB" w:rsidP="00451662">
      <w:pPr>
        <w:pStyle w:val="PR2"/>
      </w:pPr>
      <w:r w:rsidRPr="00A36F3D">
        <w:rPr>
          <w:lang w:bidi="es-US"/>
        </w:rPr>
        <w:t>Opción de recinto de emergencia UL 924</w:t>
      </w:r>
    </w:p>
    <w:p w14:paraId="4FE67C12" w14:textId="2BDBE044" w:rsidR="001B74DB" w:rsidRPr="00A36F3D" w:rsidRDefault="04630C9E" w:rsidP="00451662">
      <w:pPr>
        <w:pStyle w:val="PR3"/>
        <w:numPr>
          <w:ilvl w:val="4"/>
          <w:numId w:val="102"/>
        </w:numPr>
      </w:pPr>
      <w:r w:rsidRPr="00A36F3D">
        <w:rPr>
          <w:lang w:bidi="es-US"/>
        </w:rPr>
        <w:t>Detección multifásica de alimentación normal.</w:t>
      </w:r>
    </w:p>
    <w:p w14:paraId="5264948C" w14:textId="61E66F8C" w:rsidR="00C60D64" w:rsidRPr="00A36F3D" w:rsidRDefault="0094EC31" w:rsidP="00451662">
      <w:pPr>
        <w:pStyle w:val="PR3"/>
        <w:numPr>
          <w:ilvl w:val="4"/>
          <w:numId w:val="102"/>
        </w:numPr>
      </w:pPr>
      <w:r w:rsidRPr="00A36F3D">
        <w:rPr>
          <w:lang w:bidi="es-US"/>
        </w:rPr>
        <w:t>Detecta 120/277 y 347 V.</w:t>
      </w:r>
    </w:p>
    <w:p w14:paraId="08929B30" w14:textId="074EDAA3" w:rsidR="00D651F0" w:rsidRPr="00A36F3D" w:rsidRDefault="05ADC0AE" w:rsidP="00451662">
      <w:pPr>
        <w:pStyle w:val="PR3"/>
        <w:numPr>
          <w:ilvl w:val="4"/>
          <w:numId w:val="102"/>
        </w:numPr>
      </w:pPr>
      <w:r w:rsidRPr="00A36F3D">
        <w:rPr>
          <w:lang w:bidi="es-US"/>
        </w:rPr>
        <w:t>Respuesta de emergencia en panel local.</w:t>
      </w:r>
    </w:p>
    <w:p w14:paraId="20F5A479" w14:textId="3E0B0DA4" w:rsidR="00D651F0" w:rsidRPr="00A36F3D" w:rsidRDefault="303E65EA" w:rsidP="00451662">
      <w:pPr>
        <w:pStyle w:val="PR2"/>
      </w:pPr>
      <w:r w:rsidRPr="00A36F3D">
        <w:rPr>
          <w:lang w:bidi="es-US"/>
        </w:rPr>
        <w:t>Respuesta de emergencia personalizable mediante el hardware integrado.</w:t>
      </w:r>
    </w:p>
    <w:p w14:paraId="63BF3148" w14:textId="4F27FA3A" w:rsidR="00D651F0" w:rsidRPr="00A36F3D" w:rsidRDefault="159AFDAD" w:rsidP="00451662">
      <w:pPr>
        <w:pStyle w:val="PR3"/>
        <w:numPr>
          <w:ilvl w:val="4"/>
          <w:numId w:val="103"/>
        </w:numPr>
      </w:pPr>
      <w:r w:rsidRPr="00A36F3D">
        <w:rPr>
          <w:lang w:bidi="es-US"/>
        </w:rPr>
        <w:t>La respuesta de emergencia se ajustará a prendida, apagada y en espera.</w:t>
      </w:r>
    </w:p>
    <w:p w14:paraId="47FE5F65" w14:textId="6988E0CA" w:rsidR="00582B14" w:rsidRPr="00A36F3D" w:rsidRDefault="1C93DC66" w:rsidP="00451662">
      <w:pPr>
        <w:pStyle w:val="PR2"/>
      </w:pPr>
      <w:r w:rsidRPr="00A36F3D">
        <w:rPr>
          <w:lang w:bidi="es-US"/>
        </w:rPr>
        <w:t xml:space="preserve">Normas/reglamentos medioambientales: </w:t>
      </w:r>
    </w:p>
    <w:p w14:paraId="38977045" w14:textId="27996611" w:rsidR="00941153" w:rsidRPr="00A36F3D" w:rsidRDefault="1C93DC66" w:rsidP="00451662">
      <w:pPr>
        <w:pStyle w:val="PR3"/>
        <w:numPr>
          <w:ilvl w:val="4"/>
          <w:numId w:val="101"/>
        </w:numPr>
      </w:pPr>
      <w:r w:rsidRPr="00A36F3D">
        <w:rPr>
          <w:lang w:bidi="es-US"/>
        </w:rPr>
        <w:t>Certificado de FCC.</w:t>
      </w:r>
    </w:p>
    <w:p w14:paraId="2C1EAB21" w14:textId="7A6395C6" w:rsidR="00941153" w:rsidRPr="00A36F3D" w:rsidRDefault="1C93DC66" w:rsidP="00451662">
      <w:pPr>
        <w:pStyle w:val="PR3"/>
      </w:pPr>
      <w:r w:rsidRPr="00A36F3D">
        <w:rPr>
          <w:lang w:bidi="es-US"/>
        </w:rPr>
        <w:t>Certificación de UL (cULus).</w:t>
      </w:r>
    </w:p>
    <w:p w14:paraId="4260FC56" w14:textId="725E3E7B" w:rsidR="1C93DC66" w:rsidRPr="00A36F3D" w:rsidRDefault="1C93DC66" w:rsidP="00451662">
      <w:pPr>
        <w:pStyle w:val="PR3"/>
      </w:pPr>
      <w:r w:rsidRPr="00A36F3D">
        <w:rPr>
          <w:lang w:bidi="es-US"/>
        </w:rPr>
        <w:t>Certificación UL924 (opción de panel de emergencia).</w:t>
      </w:r>
    </w:p>
    <w:p w14:paraId="47FF8BC3" w14:textId="502561E5" w:rsidR="1BBEE911" w:rsidRDefault="1BBEE911" w:rsidP="006868A5">
      <w:pPr>
        <w:pStyle w:val="PR1"/>
        <w:numPr>
          <w:ilvl w:val="0"/>
          <w:numId w:val="98"/>
        </w:numPr>
      </w:pPr>
      <w:r>
        <w:rPr>
          <w:lang w:bidi="es-US"/>
        </w:rPr>
        <w:t>Relé de panel</w:t>
      </w:r>
    </w:p>
    <w:p w14:paraId="04D87F7F" w14:textId="77777777" w:rsidR="0031276A" w:rsidRDefault="20CB0E6D" w:rsidP="00451662">
      <w:pPr>
        <w:pStyle w:val="PR2"/>
        <w:numPr>
          <w:ilvl w:val="0"/>
          <w:numId w:val="104"/>
        </w:numPr>
      </w:pPr>
      <w:r>
        <w:rPr>
          <w:lang w:bidi="es-US"/>
        </w:rPr>
        <w:t>Salida del relé: Relé de enganche 40 A a 120/277/347 VCA SCCR 18K.</w:t>
      </w:r>
    </w:p>
    <w:p w14:paraId="69EA5CA5" w14:textId="3F323999" w:rsidR="00475B9D" w:rsidRPr="00F65235" w:rsidRDefault="20CB0E6D" w:rsidP="00451662">
      <w:pPr>
        <w:pStyle w:val="PR2"/>
        <w:numPr>
          <w:ilvl w:val="0"/>
          <w:numId w:val="104"/>
        </w:numPr>
      </w:pPr>
      <w:r>
        <w:rPr>
          <w:lang w:bidi="es-US"/>
        </w:rPr>
        <w:t>Opciones multipolares: relés de 1, 2 y 3 polos disponibles.</w:t>
      </w:r>
    </w:p>
    <w:p w14:paraId="1B606B0A" w14:textId="247A786E" w:rsidR="005C5064" w:rsidRPr="00F65235" w:rsidRDefault="12B3C708" w:rsidP="00451662">
      <w:pPr>
        <w:pStyle w:val="PR2"/>
      </w:pPr>
      <w:r w:rsidRPr="490FB347">
        <w:rPr>
          <w:lang w:bidi="es-US"/>
        </w:rPr>
        <w:t>Polo 1:</w:t>
      </w:r>
      <w:r w:rsidR="5A0786DB" w:rsidRPr="490FB347">
        <w:rPr>
          <w:shd w:val="clear" w:color="auto" w:fill="FFFFFF"/>
          <w:lang w:bidi="es-US"/>
        </w:rPr>
        <w:t xml:space="preserve"> 40 A @ 120/277/347 VCA</w:t>
      </w:r>
    </w:p>
    <w:p w14:paraId="68830167" w14:textId="092D0641" w:rsidR="005C5064" w:rsidRPr="00F65235" w:rsidRDefault="12B3C708" w:rsidP="00451662">
      <w:pPr>
        <w:pStyle w:val="PR2"/>
      </w:pPr>
      <w:r w:rsidRPr="490FB347">
        <w:rPr>
          <w:lang w:bidi="es-US"/>
        </w:rPr>
        <w:t>Polo 2:</w:t>
      </w:r>
      <w:r w:rsidR="6BDDE503" w:rsidRPr="490FB347">
        <w:rPr>
          <w:shd w:val="clear" w:color="auto" w:fill="FFFFFF"/>
          <w:lang w:bidi="es-US"/>
        </w:rPr>
        <w:t xml:space="preserve"> 40 A @ 208/240/480 VCA</w:t>
      </w:r>
    </w:p>
    <w:p w14:paraId="4D82CEBF" w14:textId="319CF459" w:rsidR="005C5064" w:rsidRPr="00F65235" w:rsidRDefault="12B3C708" w:rsidP="00451662">
      <w:pPr>
        <w:pStyle w:val="PR2"/>
      </w:pPr>
      <w:r w:rsidRPr="490FB347">
        <w:rPr>
          <w:lang w:bidi="es-US"/>
        </w:rPr>
        <w:t xml:space="preserve">Polo 3: </w:t>
      </w:r>
      <w:r w:rsidR="6BDDE503" w:rsidRPr="490FB347">
        <w:rPr>
          <w:shd w:val="clear" w:color="auto" w:fill="FFFFFF"/>
          <w:lang w:bidi="es-US"/>
        </w:rPr>
        <w:t>40 A @ 208/240/480 VCA</w:t>
      </w:r>
    </w:p>
    <w:p w14:paraId="697F12FD" w14:textId="1DE21F42" w:rsidR="00DC56BA" w:rsidRPr="00F65235" w:rsidRDefault="7E2152A5" w:rsidP="00451662">
      <w:pPr>
        <w:pStyle w:val="PR2"/>
      </w:pPr>
      <w:r>
        <w:rPr>
          <w:lang w:bidi="es-US"/>
        </w:rPr>
        <w:t xml:space="preserve">Bloquee el interruptor de encendido/apagado del relé para desactivar el control de encendido/apagado desde el controlador. </w:t>
      </w:r>
    </w:p>
    <w:p w14:paraId="0E7B7439" w14:textId="77777777" w:rsidR="005C5064" w:rsidRPr="00F65235" w:rsidRDefault="12B3C708" w:rsidP="00451662">
      <w:pPr>
        <w:pStyle w:val="PR2"/>
      </w:pPr>
      <w:r>
        <w:rPr>
          <w:lang w:bidi="es-US"/>
        </w:rPr>
        <w:t>Datos de consumo de energía calculados disponibles a través de WaveLinx CORE.</w:t>
      </w:r>
    </w:p>
    <w:p w14:paraId="312664F5" w14:textId="77777777" w:rsidR="005C5064" w:rsidRPr="00F65235" w:rsidRDefault="12B3C708" w:rsidP="00451662">
      <w:pPr>
        <w:pStyle w:val="PR2"/>
      </w:pPr>
      <w:r>
        <w:rPr>
          <w:lang w:bidi="es-US"/>
        </w:rPr>
        <w:t xml:space="preserve">Deberá poder controlar cargas de receptáculos o enchufes de hasta 40 A. </w:t>
      </w:r>
    </w:p>
    <w:p w14:paraId="5B98E5BB" w14:textId="77777777" w:rsidR="00BA626F" w:rsidRPr="00F65235" w:rsidRDefault="4D956058" w:rsidP="00451662">
      <w:pPr>
        <w:pStyle w:val="PR2"/>
      </w:pPr>
      <w:r>
        <w:rPr>
          <w:lang w:bidi="es-US"/>
        </w:rPr>
        <w:t>Cuenta con opción de anulación manual.</w:t>
      </w:r>
    </w:p>
    <w:p w14:paraId="30426494" w14:textId="77777777" w:rsidR="00804E5A" w:rsidRPr="00F65235" w:rsidRDefault="44AC4BF4" w:rsidP="00451662">
      <w:pPr>
        <w:pStyle w:val="PR2"/>
      </w:pPr>
      <w:r>
        <w:rPr>
          <w:lang w:bidi="es-US"/>
        </w:rPr>
        <w:t>Datos de consumo de energía calculados disponibles a través de WaveLinx CORE.</w:t>
      </w:r>
    </w:p>
    <w:p w14:paraId="345C160D" w14:textId="77777777" w:rsidR="004D4C33" w:rsidRPr="00F65235" w:rsidRDefault="3254C153" w:rsidP="00451662">
      <w:pPr>
        <w:pStyle w:val="PR2"/>
      </w:pPr>
      <w:r>
        <w:rPr>
          <w:lang w:bidi="es-US"/>
        </w:rPr>
        <w:t>Será compatible con balastos electrónicos; luces LED, incandescentes, magnéticas o electrónicas de bajo voltaje, fluorescentes magnéticas o electrónicas; y cargas de motor.</w:t>
      </w:r>
    </w:p>
    <w:p w14:paraId="4BC6AFA9" w14:textId="446D43D5" w:rsidR="004D4C33" w:rsidRPr="00F65235" w:rsidRDefault="3254C153" w:rsidP="00451662">
      <w:pPr>
        <w:pStyle w:val="PR2"/>
      </w:pPr>
      <w:r>
        <w:rPr>
          <w:lang w:bidi="es-US"/>
        </w:rPr>
        <w:t xml:space="preserve">Deberá poder controlar cargas de receptáculos o enchufes de hasta 40 A. </w:t>
      </w:r>
    </w:p>
    <w:p w14:paraId="01E22D7F" w14:textId="7D0553C0" w:rsidR="3D3FDA99" w:rsidRDefault="3D3FDA99" w:rsidP="00451662">
      <w:pPr>
        <w:pStyle w:val="PR2"/>
      </w:pPr>
      <w:r>
        <w:rPr>
          <w:lang w:bidi="es-US"/>
        </w:rPr>
        <w:t xml:space="preserve">Certificaciones: </w:t>
      </w:r>
    </w:p>
    <w:p w14:paraId="6DD36296" w14:textId="1404B55F" w:rsidR="3D3FDA99" w:rsidRDefault="3D3FDA99" w:rsidP="00451662">
      <w:pPr>
        <w:pStyle w:val="PR3"/>
        <w:numPr>
          <w:ilvl w:val="4"/>
          <w:numId w:val="105"/>
        </w:numPr>
      </w:pPr>
      <w:r>
        <w:rPr>
          <w:lang w:bidi="es-US"/>
        </w:rPr>
        <w:t xml:space="preserve">Certificación UL y CUL </w:t>
      </w:r>
    </w:p>
    <w:p w14:paraId="64E47599" w14:textId="3018FDF8" w:rsidR="3D3FDA99" w:rsidRDefault="3D3FDA99" w:rsidP="00451662">
      <w:pPr>
        <w:pStyle w:val="PR3"/>
        <w:numPr>
          <w:ilvl w:val="4"/>
          <w:numId w:val="105"/>
        </w:numPr>
      </w:pPr>
      <w:r>
        <w:rPr>
          <w:lang w:bidi="es-US"/>
        </w:rPr>
        <w:t>FCC</w:t>
      </w:r>
    </w:p>
    <w:p w14:paraId="6B943DF6" w14:textId="333DCAF0" w:rsidR="79D919FB" w:rsidRDefault="79D919FB" w:rsidP="006868A5">
      <w:pPr>
        <w:pStyle w:val="PR1"/>
        <w:numPr>
          <w:ilvl w:val="0"/>
          <w:numId w:val="98"/>
        </w:numPr>
      </w:pPr>
      <w:r>
        <w:rPr>
          <w:lang w:bidi="es-US"/>
        </w:rPr>
        <w:t>Módulo de atenuación del panel</w:t>
      </w:r>
    </w:p>
    <w:p w14:paraId="1E442AEA" w14:textId="77777777" w:rsidR="00DC56BA" w:rsidRPr="00F65235" w:rsidRDefault="77A1859A" w:rsidP="00451662">
      <w:pPr>
        <w:pStyle w:val="PR2"/>
        <w:numPr>
          <w:ilvl w:val="0"/>
          <w:numId w:val="106"/>
        </w:numPr>
      </w:pPr>
      <w:r>
        <w:rPr>
          <w:lang w:bidi="es-US"/>
        </w:rPr>
        <w:t>Para salidas de atenuación de 0-10 V: 4 salidas de atenuación por módulo.</w:t>
      </w:r>
    </w:p>
    <w:p w14:paraId="382F15C5" w14:textId="77777777" w:rsidR="00DC56BA" w:rsidRPr="003A27FA" w:rsidRDefault="77A1859A" w:rsidP="00451662">
      <w:pPr>
        <w:pStyle w:val="PR2"/>
        <w:rPr>
          <w:lang w:val="it-IT"/>
        </w:rPr>
      </w:pPr>
      <w:r w:rsidRPr="003A27FA">
        <w:rPr>
          <w:lang w:bidi="es-US"/>
        </w:rPr>
        <w:t>Corriente del sumidero: 100 mA a 0-10 VCC por canal.</w:t>
      </w:r>
    </w:p>
    <w:p w14:paraId="30787B5F" w14:textId="77777777" w:rsidR="00C025A2" w:rsidRPr="00F65235" w:rsidRDefault="77A1859A" w:rsidP="00451662">
      <w:pPr>
        <w:pStyle w:val="PR2"/>
      </w:pPr>
      <w:r>
        <w:rPr>
          <w:lang w:bidi="es-US"/>
        </w:rPr>
        <w:t>Montaje del módulo de atenuación: opción de montaje en panel y montaje remoto.</w:t>
      </w:r>
    </w:p>
    <w:p w14:paraId="46448269" w14:textId="16F4972C" w:rsidR="00475B9D" w:rsidRPr="00F65235" w:rsidRDefault="1CF2059C" w:rsidP="00451662">
      <w:pPr>
        <w:pStyle w:val="PR2"/>
      </w:pPr>
      <w:r>
        <w:rPr>
          <w:lang w:bidi="es-US"/>
        </w:rPr>
        <w:t xml:space="preserve">Pérdida de potencia. </w:t>
      </w:r>
    </w:p>
    <w:p w14:paraId="4DBD5F79" w14:textId="7F5F356D" w:rsidR="00804E5A" w:rsidRPr="00F65235" w:rsidRDefault="44AC4BF4" w:rsidP="00451662">
      <w:pPr>
        <w:pStyle w:val="PR2"/>
      </w:pPr>
      <w:r>
        <w:rPr>
          <w:lang w:bidi="es-US"/>
        </w:rPr>
        <w:lastRenderedPageBreak/>
        <w:t>Datos de consumo de energía calculados disponibles a través del WaveLinx CORE o del dispositivo de red de nivel superior.</w:t>
      </w:r>
    </w:p>
    <w:p w14:paraId="6A3C58F1" w14:textId="20479797" w:rsidR="1A0167E2" w:rsidRDefault="1A0167E2" w:rsidP="006868A5">
      <w:pPr>
        <w:pStyle w:val="PR1"/>
        <w:numPr>
          <w:ilvl w:val="0"/>
          <w:numId w:val="98"/>
        </w:numPr>
      </w:pPr>
      <w:r>
        <w:rPr>
          <w:lang w:bidi="es-US"/>
        </w:rPr>
        <w:t>Controlador de panel</w:t>
      </w:r>
    </w:p>
    <w:p w14:paraId="5B8C8D67" w14:textId="71A75B86" w:rsidR="3691CBB0" w:rsidRDefault="3691CBB0" w:rsidP="00451662">
      <w:pPr>
        <w:pStyle w:val="PR2"/>
        <w:numPr>
          <w:ilvl w:val="0"/>
          <w:numId w:val="108"/>
        </w:numPr>
      </w:pPr>
      <w:r>
        <w:rPr>
          <w:lang w:bidi="es-US"/>
        </w:rPr>
        <w:t>Comunicación:</w:t>
      </w:r>
    </w:p>
    <w:p w14:paraId="1D3F8F9E" w14:textId="77777777" w:rsidR="00A36F3D" w:rsidRDefault="3691CBB0" w:rsidP="00451662">
      <w:pPr>
        <w:pStyle w:val="PR3"/>
        <w:numPr>
          <w:ilvl w:val="4"/>
          <w:numId w:val="107"/>
        </w:numPr>
      </w:pPr>
      <w:r>
        <w:rPr>
          <w:lang w:bidi="es-US"/>
        </w:rPr>
        <w:t>Comunicación de red IP con el controlador de área.</w:t>
      </w:r>
    </w:p>
    <w:p w14:paraId="56D71763" w14:textId="6DF05CB4" w:rsidR="007817C5" w:rsidRPr="00F65235" w:rsidRDefault="600BCC35" w:rsidP="00451662">
      <w:pPr>
        <w:pStyle w:val="PR3"/>
        <w:numPr>
          <w:ilvl w:val="4"/>
          <w:numId w:val="107"/>
        </w:numPr>
      </w:pPr>
      <w:r>
        <w:rPr>
          <w:lang w:bidi="es-US"/>
        </w:rPr>
        <w:t>Se utilizará cable CAT5 o superior.</w:t>
      </w:r>
    </w:p>
    <w:p w14:paraId="791B6E0E" w14:textId="41587A14" w:rsidR="007817C5" w:rsidRPr="00F65235" w:rsidRDefault="655E0773" w:rsidP="00451662">
      <w:pPr>
        <w:pStyle w:val="PR2"/>
      </w:pPr>
      <w:r>
        <w:rPr>
          <w:lang w:bidi="es-US"/>
        </w:rPr>
        <w:t>Conexión por cable CAT5 o superior a los módulos de atenuación del panel.</w:t>
      </w:r>
    </w:p>
    <w:p w14:paraId="67C7F351" w14:textId="4DBE0A2A" w:rsidR="007817C5" w:rsidRPr="00F65235" w:rsidRDefault="0CB203EC" w:rsidP="00451662">
      <w:pPr>
        <w:pStyle w:val="PR3"/>
        <w:numPr>
          <w:ilvl w:val="4"/>
          <w:numId w:val="109"/>
        </w:numPr>
      </w:pPr>
      <w:r>
        <w:rPr>
          <w:lang w:bidi="es-US"/>
        </w:rPr>
        <w:t>Alimenta hasta 6 módulos de atenuación.</w:t>
      </w:r>
    </w:p>
    <w:p w14:paraId="64F83EC1" w14:textId="3E94B571" w:rsidR="007817C5" w:rsidRPr="00F65235" w:rsidRDefault="3254C153" w:rsidP="00451662">
      <w:pPr>
        <w:pStyle w:val="PR2"/>
      </w:pPr>
      <w:r w:rsidRPr="003A27FA">
        <w:rPr>
          <w:lang w:bidi="es-US"/>
        </w:rPr>
        <w:t>Los controles incorporan memoria no volátil. Las configuraciones y los parámetros guardados en la memoria protegida no se perderán en caso de que se interrumpa y restablezca el suministro eléctrico.</w:t>
      </w:r>
    </w:p>
    <w:p w14:paraId="1857E33D" w14:textId="41D216FA" w:rsidR="7E301E98" w:rsidRDefault="7E301E98" w:rsidP="006868A5">
      <w:pPr>
        <w:pStyle w:val="PR1"/>
        <w:numPr>
          <w:ilvl w:val="0"/>
          <w:numId w:val="98"/>
        </w:numPr>
      </w:pPr>
      <w:r>
        <w:rPr>
          <w:lang w:bidi="es-US"/>
        </w:rPr>
        <w:t>Módulo de emergencia del panel</w:t>
      </w:r>
    </w:p>
    <w:p w14:paraId="738DB719" w14:textId="122D11A4" w:rsidR="00C4454F" w:rsidRPr="00F65235" w:rsidRDefault="2CEA5C5E" w:rsidP="00451662">
      <w:pPr>
        <w:pStyle w:val="PR2"/>
        <w:numPr>
          <w:ilvl w:val="0"/>
          <w:numId w:val="110"/>
        </w:numPr>
      </w:pPr>
      <w:r>
        <w:rPr>
          <w:lang w:bidi="es-US"/>
        </w:rPr>
        <w:t>Supervisión de alimentación normal UL 924 para hasta 3 fases.</w:t>
      </w:r>
    </w:p>
    <w:p w14:paraId="3F4A7350" w14:textId="2361E562" w:rsidR="006E3763" w:rsidRPr="00F65235" w:rsidRDefault="1EE5C2E8" w:rsidP="00451662">
      <w:pPr>
        <w:pStyle w:val="PR2"/>
      </w:pPr>
      <w:r>
        <w:rPr>
          <w:lang w:bidi="es-US"/>
        </w:rPr>
        <w:t>Incluido en la opción del panel de emergencia.</w:t>
      </w:r>
    </w:p>
    <w:p w14:paraId="6E69C7AF" w14:textId="2A9735B2" w:rsidR="00895C62" w:rsidRPr="00F65235" w:rsidRDefault="26101842" w:rsidP="00451662">
      <w:pPr>
        <w:pStyle w:val="PR2"/>
      </w:pPr>
      <w:r>
        <w:rPr>
          <w:lang w:bidi="es-US"/>
        </w:rPr>
        <w:t>Comunicación:</w:t>
      </w:r>
    </w:p>
    <w:p w14:paraId="6BEAC46A" w14:textId="57FDE8F6" w:rsidR="00703B57" w:rsidRPr="00703B57" w:rsidRDefault="26101842" w:rsidP="00451662">
      <w:pPr>
        <w:pStyle w:val="PR3"/>
        <w:numPr>
          <w:ilvl w:val="4"/>
          <w:numId w:val="111"/>
        </w:numPr>
      </w:pPr>
      <w:r>
        <w:rPr>
          <w:lang w:bidi="es-US"/>
        </w:rPr>
        <w:t>Conexión en serie por cable a los módulos de relés.</w:t>
      </w:r>
    </w:p>
    <w:p w14:paraId="2745122C" w14:textId="535188B2" w:rsidR="00895C62" w:rsidRPr="00F65235" w:rsidRDefault="05FBB355" w:rsidP="00451662">
      <w:pPr>
        <w:pStyle w:val="PR2"/>
      </w:pPr>
      <w:r>
        <w:rPr>
          <w:lang w:bidi="es-US"/>
        </w:rPr>
        <w:t>La pérdida de cualquier alimentación normal activa el modo de emergencia en los módulos de relés.</w:t>
      </w:r>
    </w:p>
    <w:p w14:paraId="7C6A62DF" w14:textId="0C4C38A0" w:rsidR="0B1B1962" w:rsidRDefault="0B1B1962" w:rsidP="00451662">
      <w:pPr>
        <w:pStyle w:val="PR2"/>
      </w:pPr>
      <w:r>
        <w:rPr>
          <w:lang w:bidi="es-US"/>
        </w:rPr>
        <w:t xml:space="preserve">El módulo del relé se puede configurar en encendido, apagado y en espera. </w:t>
      </w:r>
    </w:p>
    <w:p w14:paraId="5B85E37F" w14:textId="5FB210CA" w:rsidR="00985CB6" w:rsidRPr="005A6F5A" w:rsidRDefault="00985CB6" w:rsidP="005A6F5A">
      <w:pPr>
        <w:pStyle w:val="Heading2"/>
      </w:pPr>
      <w:r w:rsidRPr="005A6F5A">
        <w:rPr>
          <w:lang w:bidi="es-US"/>
        </w:rPr>
        <w:t>CONTROLADOR DE PANEL DE RELÉ, CONCENTRADOR DE ÁREA, CONTROLADOR DE ÁREA, DISPOSITIVOS DE SUPERVISIÓN</w:t>
      </w:r>
    </w:p>
    <w:p w14:paraId="02BEDB53" w14:textId="62B2FE58" w:rsidR="00376840" w:rsidRDefault="00CC051B" w:rsidP="006868A5">
      <w:pPr>
        <w:pStyle w:val="PR1"/>
        <w:numPr>
          <w:ilvl w:val="0"/>
          <w:numId w:val="112"/>
        </w:numPr>
      </w:pPr>
      <w:r>
        <w:rPr>
          <w:lang w:bidi="es-US"/>
        </w:rPr>
        <w:t>Puente de comunicación por cable</w:t>
      </w:r>
    </w:p>
    <w:p w14:paraId="172B69CF" w14:textId="77777777" w:rsidR="00FD0F87" w:rsidRDefault="26A7B449" w:rsidP="00451662">
      <w:pPr>
        <w:pStyle w:val="PR2"/>
        <w:numPr>
          <w:ilvl w:val="0"/>
          <w:numId w:val="113"/>
        </w:numPr>
      </w:pPr>
      <w:r>
        <w:rPr>
          <w:lang w:bidi="es-US"/>
        </w:rPr>
        <w:t xml:space="preserve">Producto base de diseño: concentrador de área WaveLinx [WAH-POE]. </w:t>
      </w:r>
    </w:p>
    <w:p w14:paraId="5CA1376E" w14:textId="0929799E" w:rsidR="0031276A" w:rsidRDefault="4DE572C3" w:rsidP="00451662">
      <w:pPr>
        <w:pStyle w:val="PR2"/>
        <w:numPr>
          <w:ilvl w:val="0"/>
          <w:numId w:val="113"/>
        </w:numPr>
      </w:pPr>
      <w:r>
        <w:rPr>
          <w:lang w:bidi="es-US"/>
        </w:rPr>
        <w:t>Un dispositivo que actúa como pasarela al convertir los datos recibidos de ocho áreas a un controlador de área vía Ethernet.</w:t>
      </w:r>
    </w:p>
    <w:p w14:paraId="1D233D3E" w14:textId="77777777" w:rsidR="0031276A" w:rsidRDefault="5034ECAE" w:rsidP="00451662">
      <w:pPr>
        <w:pStyle w:val="PR2"/>
      </w:pPr>
      <w:r>
        <w:rPr>
          <w:lang w:bidi="es-US"/>
        </w:rPr>
        <w:t xml:space="preserve">Comunicación: cable de red de bajo voltaje a los dispositivos de control cableados y Ethernet al interruptor de red IP. </w:t>
      </w:r>
    </w:p>
    <w:p w14:paraId="1B3E30BF" w14:textId="13256869" w:rsidR="00E226DD" w:rsidRPr="00E226DD" w:rsidRDefault="26A7B449" w:rsidP="00451662">
      <w:pPr>
        <w:pStyle w:val="PR2"/>
      </w:pPr>
      <w:r>
        <w:rPr>
          <w:lang w:bidi="es-US"/>
        </w:rPr>
        <w:t xml:space="preserve">Puertos de comunicación: nueve (9) puertos RJ-45, de los cuales 8 se utilizan para conectar a 8 áreas/espacios y uno se utiliza para conectar el puente de comunicación a un interruptor de red IP y controlador de área. </w:t>
      </w:r>
    </w:p>
    <w:p w14:paraId="028F1413" w14:textId="1520CA69" w:rsidR="00E226DD" w:rsidRPr="00E226DD" w:rsidRDefault="3C327B22" w:rsidP="00451662">
      <w:pPr>
        <w:pStyle w:val="PR2"/>
      </w:pPr>
      <w:r>
        <w:rPr>
          <w:lang w:bidi="es-US"/>
        </w:rPr>
        <w:t xml:space="preserve">Alimentación de entrada: </w:t>
      </w:r>
      <w:r w:rsidR="007625D0" w:rsidRPr="007625D0">
        <w:rPr>
          <w:lang w:bidi="es-US"/>
        </w:rPr>
        <w:t>alimentación</w:t>
      </w:r>
      <w:r>
        <w:rPr>
          <w:lang w:bidi="es-US"/>
        </w:rPr>
        <w:t xml:space="preserve"> a través de Ethernet (PoE-IEEE 802.3af). </w:t>
      </w:r>
    </w:p>
    <w:p w14:paraId="18BD5205" w14:textId="61B3F3E1" w:rsidR="00E226DD" w:rsidRPr="00E226DD" w:rsidRDefault="6E90BC1C" w:rsidP="006868A5">
      <w:pPr>
        <w:pStyle w:val="PR1"/>
        <w:numPr>
          <w:ilvl w:val="0"/>
          <w:numId w:val="112"/>
        </w:numPr>
      </w:pPr>
      <w:r>
        <w:rPr>
          <w:lang w:bidi="es-US"/>
        </w:rPr>
        <w:t>Controlador del panel de relés en red WaveLinx</w:t>
      </w:r>
    </w:p>
    <w:p w14:paraId="248DCF6E" w14:textId="2EF05124" w:rsidR="00FD0F87" w:rsidRDefault="0BE249E9" w:rsidP="00451662">
      <w:pPr>
        <w:pStyle w:val="PR2"/>
        <w:numPr>
          <w:ilvl w:val="0"/>
          <w:numId w:val="115"/>
        </w:numPr>
      </w:pPr>
      <w:r>
        <w:rPr>
          <w:lang w:bidi="es-US"/>
        </w:rPr>
        <w:t xml:space="preserve">Producto base de diseño: </w:t>
      </w:r>
      <w:r w:rsidR="007625D0">
        <w:rPr>
          <w:lang w:bidi="es-US"/>
        </w:rPr>
        <w:t>p</w:t>
      </w:r>
      <w:r>
        <w:rPr>
          <w:lang w:bidi="es-US"/>
        </w:rPr>
        <w:t>anel de relés en red WaveLinx [PLE-XX]</w:t>
      </w:r>
    </w:p>
    <w:p w14:paraId="710E511C" w14:textId="74E8DDB1" w:rsidR="00E226DD" w:rsidRPr="00F65235" w:rsidRDefault="0BE249E9" w:rsidP="00451662">
      <w:pPr>
        <w:pStyle w:val="PR2"/>
        <w:numPr>
          <w:ilvl w:val="0"/>
          <w:numId w:val="115"/>
        </w:numPr>
      </w:pPr>
      <w:r>
        <w:rPr>
          <w:lang w:bidi="es-US"/>
        </w:rPr>
        <w:t>Un dispositivo que actúa como pasarela al convertir los datos recibidos del controlador de área a relés y módulos de atenuación en el panel vía Ethernet.</w:t>
      </w:r>
    </w:p>
    <w:p w14:paraId="58A71321" w14:textId="5D184172" w:rsidR="00E226DD" w:rsidRPr="00F65235" w:rsidRDefault="0BE249E9" w:rsidP="00451662">
      <w:pPr>
        <w:pStyle w:val="PR2"/>
      </w:pPr>
      <w:r>
        <w:rPr>
          <w:lang w:bidi="es-US"/>
        </w:rPr>
        <w:t xml:space="preserve">Comunicación: conexión por cable integrado, conexión por cable de bajo voltaje a los dispositivos del relé del panel y de los módulos de atenuación. Un interruptor de Ethernet a red IP para la comunicación con el controlador de área. </w:t>
      </w:r>
    </w:p>
    <w:p w14:paraId="2AE30278" w14:textId="4D9CACB3" w:rsidR="00E226DD" w:rsidRPr="00F65235" w:rsidRDefault="0BE249E9" w:rsidP="00451662">
      <w:pPr>
        <w:pStyle w:val="PR2"/>
      </w:pPr>
      <w:r>
        <w:rPr>
          <w:lang w:bidi="es-US"/>
        </w:rPr>
        <w:t xml:space="preserve">Puertos de comunicación: 2 puertos RJ-45 utilizados para conectar los módulos de atenuación y un puerto Ethernet utilizado para conectar el puente de comunicación a un interruptor de red IP y a un controlador de área. </w:t>
      </w:r>
    </w:p>
    <w:p w14:paraId="01B89B17" w14:textId="571A51E4" w:rsidR="00E226DD" w:rsidRPr="00F65235" w:rsidRDefault="0BE249E9" w:rsidP="00451662">
      <w:pPr>
        <w:pStyle w:val="PR2"/>
      </w:pPr>
      <w:r>
        <w:rPr>
          <w:lang w:bidi="es-US"/>
        </w:rPr>
        <w:t>Alimentación de entrada: alimentación de CC desde la fuente de alimentación de 120/277/347 VCA dentro del recinto del panel.</w:t>
      </w:r>
    </w:p>
    <w:p w14:paraId="3C1931D2" w14:textId="1DE40607" w:rsidR="00532CFD" w:rsidRPr="003028B4" w:rsidRDefault="45594698" w:rsidP="006868A5">
      <w:pPr>
        <w:pStyle w:val="PR1"/>
        <w:numPr>
          <w:ilvl w:val="0"/>
          <w:numId w:val="112"/>
        </w:numPr>
      </w:pPr>
      <w:r>
        <w:rPr>
          <w:lang w:bidi="es-US"/>
        </w:rPr>
        <w:t>Controlador de área</w:t>
      </w:r>
    </w:p>
    <w:p w14:paraId="3178287B" w14:textId="77777777" w:rsidR="00FD0F87" w:rsidRDefault="45594698" w:rsidP="00451662">
      <w:pPr>
        <w:pStyle w:val="PR2"/>
        <w:numPr>
          <w:ilvl w:val="0"/>
          <w:numId w:val="117"/>
        </w:numPr>
      </w:pPr>
      <w:r>
        <w:rPr>
          <w:lang w:bidi="es-US"/>
        </w:rPr>
        <w:t xml:space="preserve">Producto base de diseño: controlador de área WaveLinx [WAC2-POE]. </w:t>
      </w:r>
    </w:p>
    <w:p w14:paraId="77898AA1" w14:textId="415D404A" w:rsidR="0058195F" w:rsidRDefault="4DE572C3" w:rsidP="00451662">
      <w:pPr>
        <w:pStyle w:val="PR2"/>
        <w:numPr>
          <w:ilvl w:val="0"/>
          <w:numId w:val="117"/>
        </w:numPr>
      </w:pPr>
      <w:r>
        <w:rPr>
          <w:lang w:bidi="es-US"/>
        </w:rPr>
        <w:lastRenderedPageBreak/>
        <w:t xml:space="preserve">Un dispositivo que permite a los usuarios descubrir, programar y gestionar los dispositivos de control inalámbricos y por cable WaveLinx y las luminarias conectadas. </w:t>
      </w:r>
    </w:p>
    <w:p w14:paraId="54BE9169" w14:textId="77777777" w:rsidR="00054C58" w:rsidRDefault="00054C58" w:rsidP="00451662">
      <w:pPr>
        <w:pStyle w:val="PR2"/>
      </w:pPr>
      <w:proofErr w:type="spellStart"/>
      <w:r w:rsidRPr="00054C58">
        <w:rPr>
          <w:lang w:bidi="es-US"/>
        </w:rPr>
        <w:t>Contrôleur</w:t>
      </w:r>
      <w:proofErr w:type="spellEnd"/>
      <w:r w:rsidRPr="00054C58">
        <w:rPr>
          <w:lang w:bidi="es-US"/>
        </w:rPr>
        <w:t xml:space="preserve"> </w:t>
      </w:r>
      <w:proofErr w:type="spellStart"/>
      <w:r w:rsidRPr="00054C58">
        <w:rPr>
          <w:lang w:bidi="es-US"/>
        </w:rPr>
        <w:t>d’espace</w:t>
      </w:r>
      <w:proofErr w:type="spellEnd"/>
      <w:r w:rsidRPr="00054C58">
        <w:rPr>
          <w:lang w:bidi="es-US"/>
        </w:rPr>
        <w:t xml:space="preserve"> </w:t>
      </w:r>
      <w:proofErr w:type="spellStart"/>
      <w:r w:rsidRPr="00054C58">
        <w:rPr>
          <w:lang w:bidi="es-US"/>
        </w:rPr>
        <w:t>extérieur</w:t>
      </w:r>
      <w:proofErr w:type="spellEnd"/>
      <w:r w:rsidRPr="00054C58">
        <w:rPr>
          <w:lang w:bidi="es-US"/>
        </w:rPr>
        <w:t xml:space="preserve"> </w:t>
      </w:r>
    </w:p>
    <w:p w14:paraId="74A2082A" w14:textId="77777777" w:rsidR="00054C58" w:rsidRDefault="00054C58" w:rsidP="00054C58">
      <w:pPr>
        <w:pStyle w:val="PR2"/>
        <w:rPr>
          <w:lang w:bidi="es-US"/>
        </w:rPr>
      </w:pPr>
      <w:r>
        <w:rPr>
          <w:lang w:bidi="es-US"/>
        </w:rPr>
        <w:t xml:space="preserve">Producto base de diseño: Controlador de área </w:t>
      </w:r>
      <w:proofErr w:type="spellStart"/>
      <w:r>
        <w:rPr>
          <w:lang w:bidi="es-US"/>
        </w:rPr>
        <w:t>WaveLinx</w:t>
      </w:r>
      <w:proofErr w:type="spellEnd"/>
      <w:r>
        <w:rPr>
          <w:lang w:bidi="es-US"/>
        </w:rPr>
        <w:t xml:space="preserve"> </w:t>
      </w:r>
    </w:p>
    <w:p w14:paraId="39D85A4B" w14:textId="77777777" w:rsidR="00054C58" w:rsidRDefault="00054C58" w:rsidP="00054C58">
      <w:pPr>
        <w:pStyle w:val="PR2"/>
      </w:pPr>
      <w:r>
        <w:rPr>
          <w:lang w:bidi="es-US"/>
        </w:rPr>
        <w:t>Un dispositivo que permite a los usuarios descubrir, programar y gestionar los dispositivos de control inalámbricos y las luminarias conectadas en el exterior.</w:t>
      </w:r>
    </w:p>
    <w:p w14:paraId="39E63D0A" w14:textId="58546CA2" w:rsidR="00A155C8" w:rsidRDefault="708230A3" w:rsidP="00054C58">
      <w:pPr>
        <w:pStyle w:val="PR2"/>
      </w:pPr>
      <w:r>
        <w:rPr>
          <w:lang w:bidi="es-US"/>
        </w:rPr>
        <w:t xml:space="preserve">Comunicación: </w:t>
      </w:r>
    </w:p>
    <w:p w14:paraId="4F359567" w14:textId="44F78D20" w:rsidR="00A155C8" w:rsidRDefault="708230A3" w:rsidP="00451662">
      <w:pPr>
        <w:pStyle w:val="PR3"/>
        <w:numPr>
          <w:ilvl w:val="4"/>
          <w:numId w:val="119"/>
        </w:numPr>
      </w:pPr>
      <w:r>
        <w:rPr>
          <w:lang w:bidi="es-US"/>
        </w:rPr>
        <w:t>IEEE 802.15.4 inalámbrico para comunicarse con dispositivos inalámbricos WaveLinx.</w:t>
      </w:r>
    </w:p>
    <w:p w14:paraId="00F1BCBC" w14:textId="3A8610BA" w:rsidR="00A155C8" w:rsidRDefault="708230A3" w:rsidP="00451662">
      <w:pPr>
        <w:pStyle w:val="PR3"/>
        <w:numPr>
          <w:ilvl w:val="4"/>
          <w:numId w:val="119"/>
        </w:numPr>
      </w:pPr>
      <w:r>
        <w:rPr>
          <w:lang w:bidi="es-US"/>
        </w:rPr>
        <w:t>IEEE 802.11 a/b/g/n inalámbrico para comunicarse con dispositivos móviles con navegador compatible o aplicaciones móviles WaveLinx.</w:t>
      </w:r>
    </w:p>
    <w:p w14:paraId="70730C55" w14:textId="675930E8" w:rsidR="00A155C8" w:rsidRDefault="65CC7220" w:rsidP="00451662">
      <w:pPr>
        <w:pStyle w:val="PR3"/>
        <w:numPr>
          <w:ilvl w:val="4"/>
          <w:numId w:val="119"/>
        </w:numPr>
      </w:pPr>
      <w:r>
        <w:rPr>
          <w:lang w:bidi="es-US"/>
        </w:rPr>
        <w:t xml:space="preserve">1 RJ45 para comunicarse con el concentrador de área y el dispositivo de supervisión a través de Ethernet. </w:t>
      </w:r>
    </w:p>
    <w:p w14:paraId="45F4431A" w14:textId="3374D339" w:rsidR="0077347A" w:rsidRPr="003028B4" w:rsidRDefault="1FD0C1B3" w:rsidP="00451662">
      <w:pPr>
        <w:pStyle w:val="PR2"/>
      </w:pPr>
      <w:r>
        <w:rPr>
          <w:lang w:bidi="es-US"/>
        </w:rPr>
        <w:t>Fuente de alimentación: entrada estandarizada de alimentación a través de Ethernet (IEEE802.3af), permite instalar conmutadores de red PoE (de otros fabricantes) o un inyector PoE [WPOE2-120] (accesorio de Cooper Lighting Solutions) para la alimentación y la conexión a la red.</w:t>
      </w:r>
    </w:p>
    <w:p w14:paraId="46BF2379" w14:textId="7B5F8BC2" w:rsidR="0077347A" w:rsidRDefault="1FD0C1B3" w:rsidP="00451662">
      <w:pPr>
        <w:pStyle w:val="PR2"/>
      </w:pPr>
      <w:r>
        <w:rPr>
          <w:lang w:bidi="es-US"/>
        </w:rPr>
        <w:t>La distancia máxima del cable de Ethernet (CAT5 o superior) entre el controlador de área WaveLinx y un interruptor PoE de red es de 328 ft (100 m). Al tender el cable, hay que tener cuidado de no sobrepasar el límite de 328 ft (100 m), incluida la distancia de subida y bajada de las estructuras.</w:t>
      </w:r>
    </w:p>
    <w:p w14:paraId="2632CD0B" w14:textId="77777777" w:rsidR="00412DC9" w:rsidRDefault="00412DC9" w:rsidP="00451662">
      <w:pPr>
        <w:pStyle w:val="PR2"/>
      </w:pPr>
      <w:r w:rsidRPr="00412DC9">
        <w:rPr>
          <w:lang w:bidi="es-US"/>
        </w:rPr>
        <w:t xml:space="preserve">Para el controlador de área exterior, la fuente de alimentación es la siguiente: CA: 120 VCA, 30 W (máx.) o </w:t>
      </w:r>
      <w:proofErr w:type="spellStart"/>
      <w:r w:rsidRPr="00412DC9">
        <w:rPr>
          <w:lang w:bidi="es-US"/>
        </w:rPr>
        <w:t>PoE</w:t>
      </w:r>
      <w:proofErr w:type="spellEnd"/>
      <w:r w:rsidRPr="00412DC9">
        <w:rPr>
          <w:lang w:bidi="es-US"/>
        </w:rPr>
        <w:t>: IEEE 802.3af/at, 30 W (máx.), 100 m (300 ft) de longitud máxima del cable</w:t>
      </w:r>
    </w:p>
    <w:p w14:paraId="2540E00D" w14:textId="3563A0D5" w:rsidR="00C867D2" w:rsidRDefault="002E1664" w:rsidP="00451662">
      <w:pPr>
        <w:pStyle w:val="PR2"/>
      </w:pPr>
      <w:r>
        <w:rPr>
          <w:lang w:bidi="es-US"/>
        </w:rPr>
        <w:t xml:space="preserve"> </w:t>
      </w:r>
      <w:r w:rsidR="37ED0FEC">
        <w:rPr>
          <w:lang w:bidi="es-US"/>
        </w:rPr>
        <w:t>El punto de acceso de wifi permite a los usuarios utilizar la aplicación móvil WaveLinx para programar el sistema.</w:t>
      </w:r>
    </w:p>
    <w:p w14:paraId="2DC0A96E" w14:textId="7F0EB255" w:rsidR="0077347A" w:rsidRDefault="37ED0FEC" w:rsidP="00451662">
      <w:pPr>
        <w:pStyle w:val="PR3"/>
        <w:numPr>
          <w:ilvl w:val="4"/>
          <w:numId w:val="120"/>
        </w:numPr>
      </w:pPr>
      <w:r>
        <w:rPr>
          <w:lang w:bidi="es-US"/>
        </w:rPr>
        <w:t xml:space="preserve">El usuario podrá desactivar o activar el punto de acceso de wifi. </w:t>
      </w:r>
    </w:p>
    <w:p w14:paraId="5330BDF2" w14:textId="05D228D9" w:rsidR="0077347A" w:rsidRDefault="1FD0C1B3" w:rsidP="00451662">
      <w:pPr>
        <w:pStyle w:val="PR2"/>
      </w:pPr>
      <w:r>
        <w:rPr>
          <w:lang w:bidi="es-US"/>
        </w:rPr>
        <w:t>Transceptor de 2.4 GHz para radio inalámbrica IEEE 802.15.4 para conectar dispositivos y sensores.</w:t>
      </w:r>
    </w:p>
    <w:p w14:paraId="0FF3D6B7" w14:textId="42E9D16F" w:rsidR="0077347A" w:rsidRDefault="1FD0C1B3" w:rsidP="00451662">
      <w:pPr>
        <w:pStyle w:val="PR2"/>
      </w:pPr>
      <w:r>
        <w:rPr>
          <w:lang w:bidi="es-US"/>
        </w:rPr>
        <w:t>Deberá ser compatible con encriptación AES de 128 bits.</w:t>
      </w:r>
    </w:p>
    <w:p w14:paraId="738524B0" w14:textId="4C2CD22A" w:rsidR="00C867D2" w:rsidRDefault="05B2B207" w:rsidP="00451662">
      <w:pPr>
        <w:pStyle w:val="PR2"/>
      </w:pPr>
      <w:r>
        <w:rPr>
          <w:lang w:bidi="es-US"/>
        </w:rPr>
        <w:t xml:space="preserve">Utilizará la seguridad HTTPS estándar del sector con cifrado AES-128 que salvaguarda la integridad de todo el sistema. </w:t>
      </w:r>
    </w:p>
    <w:p w14:paraId="1880F03E" w14:textId="523AD74C" w:rsidR="0077347A" w:rsidRPr="003028B4" w:rsidRDefault="1FD0C1B3" w:rsidP="00451662">
      <w:pPr>
        <w:pStyle w:val="PR2"/>
      </w:pPr>
      <w:r>
        <w:rPr>
          <w:lang w:bidi="es-US"/>
        </w:rPr>
        <w:t>Indicadores LED del estado de las distintas radios y comunicaciones inalámbricas.</w:t>
      </w:r>
    </w:p>
    <w:p w14:paraId="258D321F" w14:textId="3EB948E0" w:rsidR="0077347A" w:rsidRPr="003028B4" w:rsidRDefault="1FD0C1B3" w:rsidP="00451662">
      <w:pPr>
        <w:pStyle w:val="PR2"/>
      </w:pPr>
      <w:r>
        <w:rPr>
          <w:lang w:bidi="es-US"/>
        </w:rPr>
        <w:t>Contará con la certificación de FCC Parte 15 Clase A, RoHS.</w:t>
      </w:r>
    </w:p>
    <w:p w14:paraId="34C8A08F" w14:textId="0182A95B" w:rsidR="0077347A" w:rsidRPr="003028B4" w:rsidRDefault="61B6D1CB" w:rsidP="00451662">
      <w:pPr>
        <w:pStyle w:val="PR2"/>
      </w:pPr>
      <w:r>
        <w:rPr>
          <w:lang w:bidi="es-US"/>
        </w:rPr>
        <w:t>Los cables de conexión del controlador de área WaveLinx deberán ser clasificación plenum.</w:t>
      </w:r>
    </w:p>
    <w:p w14:paraId="0FC46ADD" w14:textId="3F60EC6F" w:rsidR="0077347A" w:rsidRDefault="1FD0C1B3" w:rsidP="00451662">
      <w:pPr>
        <w:pStyle w:val="PR2"/>
      </w:pPr>
      <w:r>
        <w:rPr>
          <w:lang w:bidi="es-US"/>
        </w:rPr>
        <w:t>Serán dispositivos de Clase 2.</w:t>
      </w:r>
    </w:p>
    <w:p w14:paraId="128D4D2B" w14:textId="2553FE2A" w:rsidR="00C867D2" w:rsidRDefault="05B2B207" w:rsidP="00451662">
      <w:pPr>
        <w:pStyle w:val="PR2"/>
      </w:pPr>
      <w:r>
        <w:rPr>
          <w:lang w:bidi="es-US"/>
        </w:rPr>
        <w:t>Deberá poseer la certificación IEC62443-4-2 expedida por un laboratorio tercero autorizado por la IEC. No se aceptará la autocertificación.</w:t>
      </w:r>
    </w:p>
    <w:p w14:paraId="068BF708" w14:textId="35C7DF8B" w:rsidR="00CC52B8" w:rsidRPr="003028B4" w:rsidRDefault="76FCAD4E" w:rsidP="00451662">
      <w:pPr>
        <w:pStyle w:val="PR2"/>
      </w:pPr>
      <w:r>
        <w:rPr>
          <w:lang w:bidi="es-US"/>
        </w:rPr>
        <w:t xml:space="preserve">Los espacios definidos dentro del controlador de zona WaveLinx estarán equipados con un dispositivo de control para apagar de forma automática la iluminación de esas áreas. Este dispositivo de control automático funcionará de la alguna de las siguientes formas: </w:t>
      </w:r>
    </w:p>
    <w:p w14:paraId="5D217564" w14:textId="44BCE7D0" w:rsidR="001734F9" w:rsidRPr="003028B4" w:rsidRDefault="238BE080" w:rsidP="00451662">
      <w:pPr>
        <w:pStyle w:val="PR3"/>
        <w:numPr>
          <w:ilvl w:val="4"/>
          <w:numId w:val="121"/>
        </w:numPr>
      </w:pPr>
      <w:r>
        <w:rPr>
          <w:lang w:bidi="es-US"/>
        </w:rPr>
        <w:t xml:space="preserve">Con una base de programación horaria en la que las luces interiores y exteriores controladas por el controlador de área WaveLinx se cambian según la hora del día o de la variables astronómica (salida y puesta del sol). </w:t>
      </w:r>
    </w:p>
    <w:p w14:paraId="3FADE37D" w14:textId="03D2A5F7" w:rsidR="00CC52B8" w:rsidRPr="003028B4" w:rsidRDefault="001734F9" w:rsidP="00451662">
      <w:pPr>
        <w:pStyle w:val="PR4"/>
        <w:numPr>
          <w:ilvl w:val="7"/>
          <w:numId w:val="226"/>
        </w:numPr>
      </w:pPr>
      <w:r w:rsidRPr="003028B4">
        <w:rPr>
          <w:lang w:bidi="es-US"/>
        </w:rPr>
        <w:t xml:space="preserve">El reloj astronómico estará integrado en el controlador de área WaveLinx y no necesitará conexión a internet para mantener la hora. </w:t>
      </w:r>
    </w:p>
    <w:p w14:paraId="03A62655" w14:textId="0A3EAF8F" w:rsidR="001734F9" w:rsidRPr="003028B4" w:rsidRDefault="00D82359" w:rsidP="00451662">
      <w:pPr>
        <w:pStyle w:val="PR4"/>
      </w:pPr>
      <w:r>
        <w:rPr>
          <w:lang w:bidi="es-US"/>
        </w:rPr>
        <w:t>Tras un corte de energía, se conservarán la programación y la configuración del reloj.</w:t>
      </w:r>
    </w:p>
    <w:p w14:paraId="3E748F36" w14:textId="0CC7630B" w:rsidR="001734F9" w:rsidRPr="003028B4" w:rsidRDefault="001734F9" w:rsidP="00451662">
      <w:pPr>
        <w:pStyle w:val="PR4"/>
      </w:pPr>
      <w:r w:rsidRPr="003028B4">
        <w:rPr>
          <w:lang w:bidi="es-US"/>
        </w:rPr>
        <w:t>El reloj permitirá repeticiones semanales.</w:t>
      </w:r>
    </w:p>
    <w:p w14:paraId="6FE884BD" w14:textId="77777777" w:rsidR="0059007B" w:rsidRPr="003028B4" w:rsidRDefault="0059007B" w:rsidP="00451662">
      <w:pPr>
        <w:pStyle w:val="PR4"/>
      </w:pPr>
      <w:r w:rsidRPr="003028B4">
        <w:rPr>
          <w:lang w:bidi="es-US"/>
        </w:rPr>
        <w:t>Los eventos del reloj pueden programarse para lo siguiente:</w:t>
      </w:r>
    </w:p>
    <w:p w14:paraId="5DD053CB" w14:textId="336FC3B4" w:rsidR="0059007B" w:rsidRPr="003028B4" w:rsidRDefault="00BF515F" w:rsidP="00BD1BEB">
      <w:pPr>
        <w:pStyle w:val="PR5"/>
      </w:pPr>
      <w:r>
        <w:rPr>
          <w:lang w:bidi="es-US"/>
        </w:rPr>
        <w:t>ajuste de las áreas a las escenas deseadas;</w:t>
      </w:r>
    </w:p>
    <w:p w14:paraId="5EEF030E" w14:textId="77777777" w:rsidR="0059007B" w:rsidRPr="003028B4" w:rsidRDefault="00BF515F" w:rsidP="00BD1BEB">
      <w:pPr>
        <w:pStyle w:val="PR5"/>
      </w:pPr>
      <w:r w:rsidRPr="003028B4">
        <w:rPr>
          <w:lang w:bidi="es-US"/>
        </w:rPr>
        <w:t>cambio al nivel deseado de luz de las zonas;</w:t>
      </w:r>
    </w:p>
    <w:p w14:paraId="79E31A19" w14:textId="2C25AF3C" w:rsidR="0059007B" w:rsidRPr="003028B4" w:rsidRDefault="00BF515F" w:rsidP="00BD1BEB">
      <w:pPr>
        <w:pStyle w:val="PR5"/>
      </w:pPr>
      <w:r w:rsidRPr="003028B4">
        <w:rPr>
          <w:lang w:bidi="es-US"/>
        </w:rPr>
        <w:lastRenderedPageBreak/>
        <w:t>cambio de los niveles de luz de la zona cuando está ocupada;</w:t>
      </w:r>
    </w:p>
    <w:p w14:paraId="39B693F6" w14:textId="07B6DDCB" w:rsidR="007F3185" w:rsidRPr="003028B4" w:rsidRDefault="00BF515F" w:rsidP="122EA9D2">
      <w:pPr>
        <w:pStyle w:val="PR5"/>
      </w:pPr>
      <w:r w:rsidRPr="003028B4">
        <w:rPr>
          <w:lang w:bidi="es-US"/>
        </w:rPr>
        <w:t>cambio de los niveles de luz de la zona cuando está desocupada.</w:t>
      </w:r>
    </w:p>
    <w:p w14:paraId="09143030" w14:textId="75907794" w:rsidR="00CC52B8" w:rsidRPr="003028B4" w:rsidRDefault="728201BB" w:rsidP="00451662">
      <w:pPr>
        <w:pStyle w:val="PR3"/>
      </w:pPr>
      <w:r>
        <w:rPr>
          <w:lang w:bidi="es-US"/>
        </w:rPr>
        <w:t xml:space="preserve">Una base de ocupación en la que las luces interiores y exteriores controladas por el controlador de área WaveLinx se cambian según el estado del conjunto de ocupación. El conjunto de ocupación se compone de uno o de varios sensores de ocupación, y deberá apagar la iluminación 20 minutos después de que el ocupante salió del espacio. </w:t>
      </w:r>
    </w:p>
    <w:p w14:paraId="57A473D5" w14:textId="766FA115" w:rsidR="007F3185" w:rsidRPr="003028B4" w:rsidRDefault="70309755" w:rsidP="00451662">
      <w:pPr>
        <w:pStyle w:val="PR3"/>
      </w:pPr>
      <w:r>
        <w:rPr>
          <w:lang w:bidi="es-US"/>
        </w:rPr>
        <w:t>Una base de comandos manual en la que un usuario o un programa envía un comando de anulación utilizando una unidad de pared con cable o inalámbrica, la aplicación móvil, BACnet/IP o la API pública. La señal BACnet/IP y la API pública se recibirán a través de Insight Manager o del sistema de supervisión.</w:t>
      </w:r>
    </w:p>
    <w:p w14:paraId="72C15D55" w14:textId="42DA6F47" w:rsidR="007F3185" w:rsidRPr="003028B4" w:rsidRDefault="4DCF8E8C" w:rsidP="00451662">
      <w:pPr>
        <w:pStyle w:val="PR2"/>
      </w:pPr>
      <w:r>
        <w:rPr>
          <w:lang w:bidi="es-US"/>
        </w:rPr>
        <w:t xml:space="preserve">Permitirá que los usuarios hagan una copia de seguridad de la programación para evitar la pérdida de datos y restaurar las luminarias a los modos operativos. </w:t>
      </w:r>
    </w:p>
    <w:p w14:paraId="16995F96" w14:textId="7975432F" w:rsidR="6BD08954" w:rsidRDefault="6BD08954" w:rsidP="00451662">
      <w:pPr>
        <w:pStyle w:val="PR2"/>
      </w:pPr>
      <w:r>
        <w:rPr>
          <w:lang w:bidi="es-US"/>
        </w:rPr>
        <w:t xml:space="preserve">Permitirá que los usuarios gestionen, de forma centralizada, otros dispositivos de supervisión (por ejemplo, WaveLinx CORE) cuando se desplacen por un sitio. </w:t>
      </w:r>
    </w:p>
    <w:p w14:paraId="2073656D" w14:textId="6CA23B95" w:rsidR="00552D45" w:rsidRPr="003028B4" w:rsidRDefault="30D401B7" w:rsidP="00451662">
      <w:pPr>
        <w:pStyle w:val="PR2"/>
      </w:pPr>
      <w:r>
        <w:rPr>
          <w:lang w:bidi="es-US"/>
        </w:rPr>
        <w:t>Grupo de Construcción</w:t>
      </w:r>
    </w:p>
    <w:p w14:paraId="4FB29CBD" w14:textId="4C8B5842" w:rsidR="00552D45" w:rsidRPr="003028B4" w:rsidRDefault="30D401B7" w:rsidP="00AF11F7">
      <w:pPr>
        <w:pStyle w:val="PR3"/>
        <w:numPr>
          <w:ilvl w:val="4"/>
          <w:numId w:val="257"/>
        </w:numPr>
      </w:pPr>
      <w:r>
        <w:rPr>
          <w:lang w:bidi="es-US"/>
        </w:rPr>
        <w:t>Botón PAIR (Emparejar) para permitir la creación automática de un Grupo de Construcción que permita un control automático simplificado de todos los dispositivos y sensores conectados.</w:t>
      </w:r>
    </w:p>
    <w:p w14:paraId="381D8C8B" w14:textId="2D118802" w:rsidR="00552D45" w:rsidRPr="003028B4" w:rsidRDefault="30D401B7" w:rsidP="00AF11F7">
      <w:pPr>
        <w:pStyle w:val="PR3"/>
        <w:numPr>
          <w:ilvl w:val="4"/>
          <w:numId w:val="257"/>
        </w:numPr>
      </w:pPr>
      <w:r>
        <w:rPr>
          <w:lang w:bidi="es-US"/>
        </w:rPr>
        <w:t>El modo de Grupo de Construcción, pendiente de patente, permite a los contratistas realizar una puesta en marcha rápida del sistema para confirmar que los dispositivos se instalaron correctamente, en lugar de esperar a que los técnicos capacitados en fábrica pongan en funcionamiento las luces de un proyecto. Los contratistas siguen un proceso sencillo para emparejar los dispositivos inalámbricos con el controlador de área WaveLinx (WAC) adecuado e iniciar la funcionalidad de control de iluminación basada en la ocupación. Así se ahorra energía de iluminación durante la fase de construcción del proyecto, ya que las luces se apagan cuando el área está desocupada.</w:t>
      </w:r>
    </w:p>
    <w:p w14:paraId="70615182" w14:textId="7F9E250B" w:rsidR="00552D45" w:rsidRPr="003028B4" w:rsidRDefault="30D401B7" w:rsidP="00AF11F7">
      <w:pPr>
        <w:pStyle w:val="PR3"/>
        <w:numPr>
          <w:ilvl w:val="4"/>
          <w:numId w:val="257"/>
        </w:numPr>
      </w:pPr>
      <w:r>
        <w:rPr>
          <w:lang w:bidi="es-US"/>
        </w:rPr>
        <w:t>El Grupo de Construcción indica visualmente al instalador que los dispositivos recibieron comunicación inalámbrica del controlador de área WaveLinx y recibieron una dirección individual única. Los sistemas que no proporcionen una indicación visual del estado de conexión del dispositivo no serán aceptables.</w:t>
      </w:r>
    </w:p>
    <w:p w14:paraId="662B35F4" w14:textId="6B5803C4" w:rsidR="00AF11F7" w:rsidRPr="003028B4" w:rsidRDefault="00AF11F7" w:rsidP="00AF11F7">
      <w:pPr>
        <w:pStyle w:val="PR3"/>
        <w:numPr>
          <w:ilvl w:val="4"/>
          <w:numId w:val="257"/>
        </w:numPr>
      </w:pPr>
      <w:r w:rsidRPr="00AF11F7">
        <w:t>El Grupo de Construcción proporciona una agrupación automática de los dispositivos conectados para proporcionar un control sencillo basado en la ocupación y en la unidad de pared de todos los dispositivos sin necesidad de un técnico capacitado en fábrica. No se aceptarán sistemas que requieran un software especial o capacitación para agrupar dispositivos inalámbricos.</w:t>
      </w:r>
    </w:p>
    <w:p w14:paraId="70BF192C" w14:textId="29BEE6A1" w:rsidR="0052670D" w:rsidRPr="003028B4" w:rsidRDefault="11FBB7C7" w:rsidP="00451662">
      <w:pPr>
        <w:pStyle w:val="PR2"/>
      </w:pPr>
      <w:r>
        <w:rPr>
          <w:lang w:bidi="es-US"/>
        </w:rPr>
        <w:t>Escalabilidad e integridad de los datos</w:t>
      </w:r>
    </w:p>
    <w:p w14:paraId="01860325" w14:textId="594E6BAB" w:rsidR="0052670D" w:rsidRPr="003028B4" w:rsidRDefault="67BA63C1" w:rsidP="00451662">
      <w:pPr>
        <w:pStyle w:val="PR3"/>
        <w:numPr>
          <w:ilvl w:val="4"/>
          <w:numId w:val="125"/>
        </w:numPr>
      </w:pPr>
      <w:r>
        <w:rPr>
          <w:lang w:bidi="es-US"/>
        </w:rPr>
        <w:t>El controlador de área WaveLinx puede implementarse como una instalación dedicada que gestione hasta 400 dispositivos cableados (dispositivos conectados mediante un cable CAT5 o superior).</w:t>
      </w:r>
    </w:p>
    <w:p w14:paraId="6AAFC353" w14:textId="00334118" w:rsidR="0052670D" w:rsidRPr="00AF11F7" w:rsidRDefault="52A48126" w:rsidP="00AF11F7">
      <w:pPr>
        <w:pStyle w:val="PR3"/>
      </w:pPr>
      <w:r w:rsidRPr="00AF11F7">
        <w:t xml:space="preserve">El controlador de área </w:t>
      </w:r>
      <w:proofErr w:type="spellStart"/>
      <w:r w:rsidRPr="00AF11F7">
        <w:t>WaveLinx</w:t>
      </w:r>
      <w:proofErr w:type="spellEnd"/>
      <w:r w:rsidRPr="00AF11F7">
        <w:t xml:space="preserve"> puede implementarse como una instalación dedicada que gestiona hasta 400 dispositivos cableados. Cuando se implementa como una instalación dedicada, el controlador de área </w:t>
      </w:r>
      <w:proofErr w:type="spellStart"/>
      <w:r w:rsidRPr="00AF11F7">
        <w:t>WaveLinx</w:t>
      </w:r>
      <w:proofErr w:type="spellEnd"/>
      <w:r w:rsidRPr="00AF11F7">
        <w:t xml:space="preserve"> actúa como un punto de acceso inalámbrico local para el método de conexión de wifi a la aplicación móvil o basada en web de </w:t>
      </w:r>
      <w:proofErr w:type="spellStart"/>
      <w:r w:rsidRPr="00AF11F7">
        <w:t>WaveLinx</w:t>
      </w:r>
      <w:proofErr w:type="spellEnd"/>
      <w:r w:rsidRPr="00AF11F7">
        <w:t>.</w:t>
      </w:r>
    </w:p>
    <w:p w14:paraId="2705343C" w14:textId="493C0DBC" w:rsidR="0052670D" w:rsidRPr="00AF11F7" w:rsidRDefault="52A48126" w:rsidP="00AF11F7">
      <w:pPr>
        <w:pStyle w:val="PR3"/>
      </w:pPr>
      <w:r w:rsidRPr="00AF11F7">
        <w:t xml:space="preserve">El controlador de área </w:t>
      </w:r>
      <w:proofErr w:type="spellStart"/>
      <w:r w:rsidRPr="00AF11F7">
        <w:t>WaveLinx</w:t>
      </w:r>
      <w:proofErr w:type="spellEnd"/>
      <w:r w:rsidRPr="00AF11F7">
        <w:t xml:space="preserve"> puede implementarse como instalación en red o híbrida y gestionar hasta 400 dispositivos en total con un máximo de 150 dispositivos inalámbricos (dispositivos conectados, sensores conectados) por cada controlador de área </w:t>
      </w:r>
      <w:proofErr w:type="spellStart"/>
      <w:r w:rsidRPr="00AF11F7">
        <w:t>WaveLinx</w:t>
      </w:r>
      <w:proofErr w:type="spellEnd"/>
      <w:r w:rsidRPr="00AF11F7">
        <w:t xml:space="preserve">. Cuando se implementa como instalación de red, el controlador de área </w:t>
      </w:r>
      <w:proofErr w:type="spellStart"/>
      <w:r w:rsidRPr="00AF11F7">
        <w:t>WaveLinx</w:t>
      </w:r>
      <w:proofErr w:type="spellEnd"/>
      <w:r w:rsidRPr="00AF11F7">
        <w:t xml:space="preserve"> se conecta a la red LAN o inalámbrica del edificio como cliente mediante DHCP. El número máximo de controladores de área </w:t>
      </w:r>
      <w:proofErr w:type="spellStart"/>
      <w:r w:rsidRPr="00AF11F7">
        <w:t>WaveLinx</w:t>
      </w:r>
      <w:proofErr w:type="spellEnd"/>
      <w:r w:rsidRPr="00AF11F7">
        <w:t xml:space="preserve"> en la red del edificio depende de la configuración de la red de este.</w:t>
      </w:r>
    </w:p>
    <w:p w14:paraId="2267CF8B" w14:textId="59C08087" w:rsidR="00A9030C" w:rsidRPr="00AF11F7" w:rsidRDefault="00AC0316" w:rsidP="00AF11F7">
      <w:pPr>
        <w:pStyle w:val="PR3"/>
      </w:pPr>
      <w:r w:rsidRPr="00AF11F7">
        <w:lastRenderedPageBreak/>
        <w:t xml:space="preserve">En espacios en los que varios controladores de área </w:t>
      </w:r>
      <w:proofErr w:type="spellStart"/>
      <w:r w:rsidRPr="00AF11F7">
        <w:t>WaveLinx</w:t>
      </w:r>
      <w:proofErr w:type="spellEnd"/>
      <w:r w:rsidRPr="00AF11F7">
        <w:t xml:space="preserve"> están centralizados mediante un dispositivo de supervisión como el </w:t>
      </w:r>
      <w:proofErr w:type="spellStart"/>
      <w:r w:rsidRPr="00AF11F7">
        <w:t>WaveLinx</w:t>
      </w:r>
      <w:proofErr w:type="spellEnd"/>
      <w:r w:rsidRPr="00AF11F7">
        <w:t xml:space="preserve"> CORE, los cambios centrales deben permitirse a través del controlador de área </w:t>
      </w:r>
      <w:proofErr w:type="spellStart"/>
      <w:r w:rsidRPr="00AF11F7">
        <w:t>WaveLinx</w:t>
      </w:r>
      <w:proofErr w:type="spellEnd"/>
      <w:r w:rsidRPr="00AF11F7">
        <w:t xml:space="preserve"> de un área. Tras la autenticación, el controlador de área </w:t>
      </w:r>
      <w:proofErr w:type="spellStart"/>
      <w:r w:rsidRPr="00AF11F7">
        <w:t>WaveLinx</w:t>
      </w:r>
      <w:proofErr w:type="spellEnd"/>
      <w:r w:rsidRPr="00AF11F7">
        <w:t xml:space="preserve"> permite el inicio de sesión directo en el dispositivo de supervisión.</w:t>
      </w:r>
    </w:p>
    <w:p w14:paraId="0FC96853" w14:textId="05A5EB4A" w:rsidR="003E1218" w:rsidRPr="006868A5" w:rsidRDefault="1C44FA29" w:rsidP="006868A5">
      <w:pPr>
        <w:pStyle w:val="PR1"/>
        <w:numPr>
          <w:ilvl w:val="0"/>
          <w:numId w:val="112"/>
        </w:numPr>
        <w:rPr>
          <w:lang w:val="en-CA"/>
        </w:rPr>
      </w:pPr>
      <w:r w:rsidRPr="004B67F1">
        <w:rPr>
          <w:lang w:bidi="es-US"/>
        </w:rPr>
        <w:t>Dispositivo de supervisión</w:t>
      </w:r>
    </w:p>
    <w:p w14:paraId="106A21E8" w14:textId="75B26FF3" w:rsidR="00FD0F87" w:rsidRDefault="1C44FA29" w:rsidP="00451662">
      <w:pPr>
        <w:pStyle w:val="PR2"/>
        <w:numPr>
          <w:ilvl w:val="0"/>
          <w:numId w:val="122"/>
        </w:numPr>
      </w:pPr>
      <w:r>
        <w:rPr>
          <w:lang w:bidi="es-US"/>
        </w:rPr>
        <w:t>Producto base de diseño: WaveLinx CORE [TRX-TCPRO2, TRX-TCENT2, TRX</w:t>
      </w:r>
      <w:r w:rsidR="008C498C">
        <w:rPr>
          <w:lang w:bidi="es-US"/>
        </w:rPr>
        <w:noBreakHyphen/>
      </w:r>
      <w:r>
        <w:rPr>
          <w:lang w:bidi="es-US"/>
        </w:rPr>
        <w:t xml:space="preserve">TCVRT2] </w:t>
      </w:r>
    </w:p>
    <w:p w14:paraId="137B6007" w14:textId="53F8F209" w:rsidR="003E1218" w:rsidRDefault="05B2B207" w:rsidP="00451662">
      <w:pPr>
        <w:pStyle w:val="PR2"/>
        <w:numPr>
          <w:ilvl w:val="0"/>
          <w:numId w:val="122"/>
        </w:numPr>
      </w:pPr>
      <w:r>
        <w:rPr>
          <w:lang w:bidi="es-US"/>
        </w:rPr>
        <w:t>Un dispositivo que permite a los usuarios gestionar un sistema conectado de forma remota a través de un navegador web o una aplicación móvil.</w:t>
      </w:r>
    </w:p>
    <w:p w14:paraId="1F17AA45" w14:textId="45FCE36D" w:rsidR="00E1634F" w:rsidRDefault="00E1634F" w:rsidP="00451662">
      <w:pPr>
        <w:pStyle w:val="PR2"/>
        <w:numPr>
          <w:ilvl w:val="0"/>
          <w:numId w:val="122"/>
        </w:numPr>
      </w:pPr>
      <w:r>
        <w:rPr>
          <w:lang w:bidi="es-US"/>
        </w:rPr>
        <w:t>Proporciona un control global y una integración de varios servicios que no depende de la tecnología (agnóstico tecnológico).</w:t>
      </w:r>
    </w:p>
    <w:p w14:paraId="4DFC0EA0" w14:textId="7CDD7BA8" w:rsidR="003E1218" w:rsidRDefault="52FF5D0E" w:rsidP="00451662">
      <w:pPr>
        <w:pStyle w:val="PR2"/>
        <w:rPr>
          <w:lang w:val="fr-CA"/>
        </w:rPr>
      </w:pPr>
      <w:r>
        <w:rPr>
          <w:lang w:bidi="es-US"/>
        </w:rPr>
        <w:t xml:space="preserve">Comunicación: </w:t>
      </w:r>
    </w:p>
    <w:p w14:paraId="2058DF82" w14:textId="78D9BFF6" w:rsidR="003E1218" w:rsidRDefault="52FF5D0E" w:rsidP="00451662">
      <w:pPr>
        <w:pStyle w:val="PR3"/>
        <w:numPr>
          <w:ilvl w:val="4"/>
          <w:numId w:val="124"/>
        </w:numPr>
      </w:pPr>
      <w:r>
        <w:rPr>
          <w:lang w:bidi="es-US"/>
        </w:rPr>
        <w:t>2 conectores RJ45 para comunicarse con los controladores de área a través de un interruptor de red.</w:t>
      </w:r>
    </w:p>
    <w:p w14:paraId="7E1895E1" w14:textId="2245D8CF" w:rsidR="003E1218" w:rsidRDefault="52FF5D0E" w:rsidP="00451662">
      <w:pPr>
        <w:pStyle w:val="PR2"/>
      </w:pPr>
      <w:r>
        <w:rPr>
          <w:lang w:bidi="es-US"/>
        </w:rPr>
        <w:t>Fuente de alimentación: adaptador de alimentación de bajo voltaje para versiones de dispositivos físicos.</w:t>
      </w:r>
    </w:p>
    <w:p w14:paraId="0C886813" w14:textId="3BDB7FF3" w:rsidR="001C3E25" w:rsidRDefault="6093620C" w:rsidP="00451662">
      <w:pPr>
        <w:pStyle w:val="PR2"/>
      </w:pPr>
      <w:r>
        <w:rPr>
          <w:lang w:bidi="es-US"/>
        </w:rPr>
        <w:t xml:space="preserve">Posibilidad de conectar hasta 300 controladores de área WaveLinx. El modelo básico (WaveLinx CORE Pro) admite hasta 20 controladores de área WaveLinx, mientras que el modelo para empresas (WaveLinx CORE Enterprise) admite hasta 500 controladores de área WaveLinx. </w:t>
      </w:r>
    </w:p>
    <w:p w14:paraId="7D911072" w14:textId="45451263" w:rsidR="00042D45" w:rsidRDefault="5215D688" w:rsidP="00451662">
      <w:pPr>
        <w:pStyle w:val="PR2"/>
      </w:pPr>
      <w:r>
        <w:rPr>
          <w:lang w:bidi="es-US"/>
        </w:rPr>
        <w:t>Deberá poder alojarse en un dispositivo virtual VMWare (TRX-TCVRT2).</w:t>
      </w:r>
    </w:p>
    <w:p w14:paraId="7E760959" w14:textId="1F344BD2" w:rsidR="003051BF" w:rsidRDefault="1A2E569F" w:rsidP="00451662">
      <w:pPr>
        <w:pStyle w:val="PR2"/>
      </w:pPr>
      <w:r>
        <w:rPr>
          <w:lang w:bidi="es-US"/>
        </w:rPr>
        <w:t xml:space="preserve">Alojará todas las aplicaciones necesarias para gestionar el sistema de iluminación, analizar los datos recogidos por los sensores y localizar los activos/personal. </w:t>
      </w:r>
    </w:p>
    <w:p w14:paraId="4C30901F" w14:textId="352EB6DA" w:rsidR="0062148B" w:rsidRDefault="70EB97EE" w:rsidP="00451662">
      <w:pPr>
        <w:pStyle w:val="PR2"/>
      </w:pPr>
      <w:r>
        <w:rPr>
          <w:lang w:bidi="es-US"/>
        </w:rPr>
        <w:t>No es necesario instalar ninguna aplicación de software.</w:t>
      </w:r>
    </w:p>
    <w:p w14:paraId="5CC6ADDC" w14:textId="00F74EFA" w:rsidR="0081758D" w:rsidRDefault="70EB97EE" w:rsidP="00451662">
      <w:pPr>
        <w:pStyle w:val="PR2"/>
      </w:pPr>
      <w:r>
        <w:rPr>
          <w:lang w:bidi="es-US"/>
        </w:rPr>
        <w:t>Alojará las interfaces utilizadas para intercambiar datos con sistemas de terceros: BACnet/IP, API REST y OpenADR (para la conformidad con el Título 24).</w:t>
      </w:r>
    </w:p>
    <w:p w14:paraId="3FA976EC" w14:textId="1636BAA5" w:rsidR="00932C24" w:rsidRDefault="73012879" w:rsidP="00451662">
      <w:pPr>
        <w:pStyle w:val="PR2"/>
      </w:pPr>
      <w:r>
        <w:rPr>
          <w:lang w:bidi="es-US"/>
        </w:rPr>
        <w:t>Deberá tener la certificación IEC62443-4-2 expedida por un laboratorio autorizado por la IEC. No se aceptará la autocertificación.</w:t>
      </w:r>
    </w:p>
    <w:p w14:paraId="5B97A7A2" w14:textId="59BF44F4" w:rsidR="00226179" w:rsidRDefault="0B871CD6" w:rsidP="00451662">
      <w:pPr>
        <w:pStyle w:val="PR2"/>
      </w:pPr>
      <w:r>
        <w:rPr>
          <w:lang w:bidi="es-US"/>
        </w:rPr>
        <w:t>Capacidad para almacenar 13 meses de datos de energía y ocupación.</w:t>
      </w:r>
    </w:p>
    <w:p w14:paraId="74575F4D" w14:textId="56A91F5C" w:rsidR="00226179" w:rsidRPr="005A6F5A" w:rsidRDefault="00226179" w:rsidP="005A6F5A">
      <w:pPr>
        <w:pStyle w:val="Heading2"/>
      </w:pPr>
      <w:r w:rsidRPr="005A6F5A">
        <w:rPr>
          <w:lang w:bidi="es-US"/>
        </w:rPr>
        <w:t>APLICACIONES DE SOFTWARE</w:t>
      </w:r>
    </w:p>
    <w:p w14:paraId="757A0400" w14:textId="1A5F9580" w:rsidR="007D5730" w:rsidRDefault="21444A5E" w:rsidP="006868A5">
      <w:pPr>
        <w:pStyle w:val="PR1"/>
        <w:numPr>
          <w:ilvl w:val="0"/>
          <w:numId w:val="126"/>
        </w:numPr>
      </w:pPr>
      <w:r>
        <w:rPr>
          <w:lang w:bidi="es-US"/>
        </w:rPr>
        <w:t>Aplicación móvil (red autónoma)</w:t>
      </w:r>
    </w:p>
    <w:p w14:paraId="29620251" w14:textId="54C5AC1D" w:rsidR="00FD0F87" w:rsidRDefault="20BB8224" w:rsidP="00451662">
      <w:pPr>
        <w:pStyle w:val="PR2"/>
        <w:numPr>
          <w:ilvl w:val="0"/>
          <w:numId w:val="127"/>
        </w:numPr>
      </w:pPr>
      <w:r>
        <w:rPr>
          <w:lang w:bidi="es-US"/>
        </w:rPr>
        <w:t xml:space="preserve">Producto base de diseño: </w:t>
      </w:r>
      <w:r w:rsidR="007625D0" w:rsidRPr="007625D0">
        <w:rPr>
          <w:lang w:bidi="es-US"/>
        </w:rPr>
        <w:t>aplicación</w:t>
      </w:r>
      <w:r>
        <w:rPr>
          <w:lang w:bidi="es-US"/>
        </w:rPr>
        <w:t xml:space="preserve"> móvil </w:t>
      </w:r>
      <w:proofErr w:type="spellStart"/>
      <w:r>
        <w:rPr>
          <w:lang w:bidi="es-US"/>
        </w:rPr>
        <w:t>WaveLinx</w:t>
      </w:r>
      <w:proofErr w:type="spellEnd"/>
      <w:r>
        <w:rPr>
          <w:lang w:bidi="es-US"/>
        </w:rPr>
        <w:t xml:space="preserve"> CAT [CATAPP] </w:t>
      </w:r>
    </w:p>
    <w:p w14:paraId="5417B00A" w14:textId="037B93D6" w:rsidR="00DA3541" w:rsidRPr="003028B4" w:rsidRDefault="20BB8224" w:rsidP="00451662">
      <w:pPr>
        <w:pStyle w:val="PR2"/>
        <w:numPr>
          <w:ilvl w:val="0"/>
          <w:numId w:val="127"/>
        </w:numPr>
      </w:pPr>
      <w:r>
        <w:rPr>
          <w:lang w:bidi="es-US"/>
        </w:rPr>
        <w:t xml:space="preserve">Aplicación móvil para iOS y Android que permite a los usuarios programar las zonas que controlan los dispositivos con cable WaveLinx. </w:t>
      </w:r>
    </w:p>
    <w:p w14:paraId="0E49F72D" w14:textId="620480C1" w:rsidR="00DA3541" w:rsidRDefault="20BB8224" w:rsidP="00451662">
      <w:pPr>
        <w:pStyle w:val="PR2"/>
      </w:pPr>
      <w:r>
        <w:rPr>
          <w:lang w:bidi="es-US"/>
        </w:rPr>
        <w:t>La aplicación móvil incluirá las siguientes funciones:</w:t>
      </w:r>
    </w:p>
    <w:p w14:paraId="3DE0183C" w14:textId="7B2C1B7D" w:rsidR="00DA3541" w:rsidRPr="003028B4" w:rsidRDefault="20BB8224" w:rsidP="00451662">
      <w:pPr>
        <w:pStyle w:val="PR2"/>
      </w:pPr>
      <w:r>
        <w:rPr>
          <w:lang w:bidi="es-US"/>
        </w:rPr>
        <w:t xml:space="preserve">Descubrimiento de los dispositivos de control. </w:t>
      </w:r>
    </w:p>
    <w:p w14:paraId="614978A2" w14:textId="7F117FD4" w:rsidR="00DA3541" w:rsidRPr="003028B4" w:rsidRDefault="007625D0" w:rsidP="00451662">
      <w:pPr>
        <w:pStyle w:val="PR2"/>
      </w:pPr>
      <w:r w:rsidRPr="007625D0">
        <w:rPr>
          <w:lang w:bidi="es-US"/>
        </w:rPr>
        <w:t>Identificación</w:t>
      </w:r>
      <w:r w:rsidR="20BB8224">
        <w:rPr>
          <w:lang w:bidi="es-US"/>
        </w:rPr>
        <w:t xml:space="preserve"> intermitente de los dispositivos de control mediante el parpadeo de los dispositivos de control o de los dispositivos conectados a ellos.</w:t>
      </w:r>
    </w:p>
    <w:p w14:paraId="258EAD49" w14:textId="75C666A4" w:rsidR="00DA3541" w:rsidRPr="003028B4" w:rsidRDefault="20BB8224" w:rsidP="00451662">
      <w:pPr>
        <w:pStyle w:val="PR2"/>
      </w:pPr>
      <w:r>
        <w:rPr>
          <w:lang w:bidi="es-US"/>
        </w:rPr>
        <w:t>Los dispositivos y sensores conectados identificados indicarán, en la aplicación móvil WaveLinx CAT, su selección mediante el ícono del dispositivo que parpadea en la pantalla.</w:t>
      </w:r>
    </w:p>
    <w:p w14:paraId="09107CB7" w14:textId="1763FC30" w:rsidR="00DA3541" w:rsidRPr="003028B4" w:rsidRDefault="20BB8224" w:rsidP="00451662">
      <w:pPr>
        <w:pStyle w:val="PR2"/>
      </w:pPr>
      <w:r>
        <w:rPr>
          <w:lang w:bidi="es-US"/>
        </w:rPr>
        <w:t>Credenciales de acceso administrativo únicas para cada red autónoma.</w:t>
      </w:r>
    </w:p>
    <w:p w14:paraId="5D3B7D95" w14:textId="18FAE8AF" w:rsidR="00DA3541" w:rsidRPr="003028B4" w:rsidRDefault="182BE47D" w:rsidP="00451662">
      <w:pPr>
        <w:pStyle w:val="PR2"/>
      </w:pPr>
      <w:r>
        <w:rPr>
          <w:lang w:bidi="es-US"/>
        </w:rPr>
        <w:t>Posibilidad de utilizar las funciones de arrastrar y soltar, selección múltiple y filtrado para asociar fácilmente los dispositivos y sensores conectados.</w:t>
      </w:r>
    </w:p>
    <w:p w14:paraId="32F40A0C" w14:textId="65A1C999" w:rsidR="00DA3541" w:rsidRPr="003028B4" w:rsidRDefault="20BB8224" w:rsidP="00451662">
      <w:pPr>
        <w:pStyle w:val="PR2"/>
      </w:pPr>
      <w:r>
        <w:rPr>
          <w:lang w:bidi="es-US"/>
        </w:rPr>
        <w:t>Creación de hasta dieciséis (16) zonas.</w:t>
      </w:r>
    </w:p>
    <w:p w14:paraId="6E63B641" w14:textId="3E7F17A3" w:rsidR="00DA3541" w:rsidRPr="003028B4" w:rsidRDefault="20BB8224" w:rsidP="00451662">
      <w:pPr>
        <w:pStyle w:val="PR2"/>
      </w:pPr>
      <w:r>
        <w:rPr>
          <w:lang w:bidi="es-US"/>
        </w:rPr>
        <w:t xml:space="preserve">Creación de hasta seis (6) configuraciones de ocupación. </w:t>
      </w:r>
    </w:p>
    <w:p w14:paraId="0834A235" w14:textId="06C30ACF" w:rsidR="00DA3541" w:rsidRPr="003028B4" w:rsidRDefault="20BB8224" w:rsidP="00451662">
      <w:pPr>
        <w:pStyle w:val="PR2"/>
      </w:pPr>
      <w:r>
        <w:rPr>
          <w:lang w:bidi="es-US"/>
        </w:rPr>
        <w:t>Creación de juegos de luz diurna.</w:t>
      </w:r>
    </w:p>
    <w:p w14:paraId="6A9E37C2" w14:textId="212E7EC8" w:rsidR="00DA3541" w:rsidRPr="003028B4" w:rsidRDefault="20BB8224" w:rsidP="00451662">
      <w:pPr>
        <w:pStyle w:val="PR2"/>
      </w:pPr>
      <w:r>
        <w:rPr>
          <w:lang w:bidi="es-US"/>
        </w:rPr>
        <w:t>Creación de valores de respuesta a la demanda.</w:t>
      </w:r>
    </w:p>
    <w:p w14:paraId="57D14486" w14:textId="185122AF" w:rsidR="00DA3541" w:rsidRPr="003028B4" w:rsidRDefault="20BB8224" w:rsidP="00451662">
      <w:pPr>
        <w:pStyle w:val="PR2"/>
      </w:pPr>
      <w:r>
        <w:rPr>
          <w:lang w:bidi="es-US"/>
        </w:rPr>
        <w:t>Definición de hasta 7 valores de escena.</w:t>
      </w:r>
    </w:p>
    <w:p w14:paraId="4C7C297D" w14:textId="6508B4E4" w:rsidR="00DA3541" w:rsidRPr="003028B4" w:rsidRDefault="20BB8224" w:rsidP="00451662">
      <w:pPr>
        <w:pStyle w:val="PR2"/>
      </w:pPr>
      <w:r>
        <w:rPr>
          <w:lang w:bidi="es-US"/>
        </w:rPr>
        <w:t xml:space="preserve">Definición de eventos temporales para encender o apagar las luces de una o de varias áreas. </w:t>
      </w:r>
    </w:p>
    <w:p w14:paraId="57255184" w14:textId="1CDB178E" w:rsidR="00DA3541" w:rsidRPr="003028B4" w:rsidRDefault="20BB8224" w:rsidP="00451662">
      <w:pPr>
        <w:pStyle w:val="PR2"/>
      </w:pPr>
      <w:r>
        <w:rPr>
          <w:lang w:bidi="es-US"/>
        </w:rPr>
        <w:lastRenderedPageBreak/>
        <w:t>Entre las funciones de puesta en servicio automática de códigos se incluyen las siguientes:</w:t>
      </w:r>
    </w:p>
    <w:p w14:paraId="7A55AFB1" w14:textId="257A3DFF" w:rsidR="00DA3541" w:rsidRPr="003028B4" w:rsidRDefault="20BB8224" w:rsidP="00451662">
      <w:pPr>
        <w:pStyle w:val="PR3"/>
        <w:numPr>
          <w:ilvl w:val="4"/>
          <w:numId w:val="129"/>
        </w:numPr>
      </w:pPr>
      <w:r>
        <w:rPr>
          <w:lang w:bidi="es-US"/>
        </w:rPr>
        <w:t>Asociación automática de todos los dispositivos añadidos a un área para proporcionar una secuencia de operaciones conforme al código del Título 24 de California.</w:t>
      </w:r>
    </w:p>
    <w:p w14:paraId="6511E8F7" w14:textId="77777777" w:rsidR="00AF11F7" w:rsidRDefault="00AF11F7" w:rsidP="00AF11F7">
      <w:pPr>
        <w:pStyle w:val="PR3"/>
        <w:rPr>
          <w:lang w:bidi="es-US"/>
        </w:rPr>
      </w:pPr>
      <w:r>
        <w:rPr>
          <w:lang w:bidi="es-US"/>
        </w:rPr>
        <w:t>Todos los sensores de ocupación se unen para proporcionar un encendido automático al 50% del nivel de luz.</w:t>
      </w:r>
    </w:p>
    <w:p w14:paraId="7B23305B" w14:textId="77777777" w:rsidR="00AF11F7" w:rsidRDefault="00AF11F7" w:rsidP="00AF11F7">
      <w:pPr>
        <w:pStyle w:val="PR3"/>
        <w:rPr>
          <w:lang w:bidi="es-US"/>
        </w:rPr>
      </w:pPr>
      <w:r>
        <w:rPr>
          <w:lang w:bidi="es-US"/>
        </w:rPr>
        <w:t>Todos los sensores de ocupación se unen para proporcionar un apagado automático de todas las luminarias y cargas de enchufe después de 20 minutos sin detección de ocupación.</w:t>
      </w:r>
    </w:p>
    <w:p w14:paraId="10031117" w14:textId="77777777" w:rsidR="00AF11F7" w:rsidRDefault="00AF11F7" w:rsidP="00AF11F7">
      <w:pPr>
        <w:pStyle w:val="PR3"/>
        <w:rPr>
          <w:lang w:bidi="es-US"/>
        </w:rPr>
      </w:pPr>
      <w:r>
        <w:rPr>
          <w:lang w:bidi="es-US"/>
        </w:rPr>
        <w:t>Iluminación de luz diurna automática de bucle cerrado de aproximadamente 500 lux (46 pies-candela).</w:t>
      </w:r>
    </w:p>
    <w:p w14:paraId="60B366C3" w14:textId="77777777" w:rsidR="00AF11F7" w:rsidRDefault="00AF11F7" w:rsidP="00AF11F7">
      <w:pPr>
        <w:pStyle w:val="PR3"/>
        <w:rPr>
          <w:lang w:bidi="es-US"/>
        </w:rPr>
      </w:pPr>
      <w:r>
        <w:rPr>
          <w:lang w:bidi="es-US"/>
        </w:rPr>
        <w:t>El mapeo automático de los botones de la unidad de pared permite que el botón dominante proporcione un nivel de luz del 50%; todos los demás botones proporcionan un control de atenuación multinivel del 30% al 100%.</w:t>
      </w:r>
    </w:p>
    <w:p w14:paraId="5D7A24A6" w14:textId="77777777" w:rsidR="00AF11F7" w:rsidRDefault="00AF11F7" w:rsidP="00AF11F7">
      <w:pPr>
        <w:pStyle w:val="PR3"/>
        <w:rPr>
          <w:lang w:bidi="es-US"/>
        </w:rPr>
      </w:pPr>
      <w:r>
        <w:rPr>
          <w:lang w:bidi="es-US"/>
        </w:rPr>
        <w:t>Respuesta automática a la demanda del 20%.</w:t>
      </w:r>
    </w:p>
    <w:p w14:paraId="32DB2D76" w14:textId="4F0A102E" w:rsidR="00DA3541" w:rsidRPr="003028B4" w:rsidRDefault="00AF11F7" w:rsidP="00AF11F7">
      <w:pPr>
        <w:pStyle w:val="PR3"/>
      </w:pPr>
      <w:r>
        <w:rPr>
          <w:lang w:bidi="es-US"/>
        </w:rPr>
        <w:t>Pantallas adicionales, si son necesarias para ajustar la configuración de la puesta en marcha automática de códigos</w:t>
      </w:r>
      <w:r w:rsidR="20BB8224">
        <w:rPr>
          <w:lang w:bidi="es-US"/>
        </w:rPr>
        <w:t>.</w:t>
      </w:r>
    </w:p>
    <w:p w14:paraId="18EC5AC3" w14:textId="6215D02B" w:rsidR="00DA3541" w:rsidRDefault="509648AB" w:rsidP="006868A5">
      <w:pPr>
        <w:pStyle w:val="PR1"/>
        <w:numPr>
          <w:ilvl w:val="0"/>
          <w:numId w:val="112"/>
        </w:numPr>
      </w:pPr>
      <w:r>
        <w:rPr>
          <w:lang w:bidi="es-US"/>
        </w:rPr>
        <w:t>Aplicación móvil (instalación en red)</w:t>
      </w:r>
    </w:p>
    <w:p w14:paraId="0BC0BAE3" w14:textId="77777777" w:rsidR="001E1438" w:rsidRDefault="001E1438" w:rsidP="00451662">
      <w:pPr>
        <w:pStyle w:val="PR2"/>
        <w:numPr>
          <w:ilvl w:val="0"/>
          <w:numId w:val="130"/>
        </w:numPr>
      </w:pPr>
      <w:r>
        <w:rPr>
          <w:lang w:bidi="es-US"/>
        </w:rPr>
        <w:t xml:space="preserve">Producto base de diseño: aplicación móvil WaveLinx [WAPP] </w:t>
      </w:r>
    </w:p>
    <w:p w14:paraId="7BCE4391" w14:textId="77777777" w:rsidR="001E1438" w:rsidRPr="003028B4" w:rsidRDefault="001E1438" w:rsidP="00451662">
      <w:pPr>
        <w:pStyle w:val="PR2"/>
        <w:numPr>
          <w:ilvl w:val="0"/>
          <w:numId w:val="130"/>
        </w:numPr>
      </w:pPr>
      <w:r>
        <w:rPr>
          <w:lang w:bidi="es-US"/>
        </w:rPr>
        <w:t>Aplicación móvil para iOS y Android que permite a los usuarios programar las áreas que controlan los dispositivos de control inalámbricos y por cable WaveLinx, incluidos los paneles de control de iluminación (o el panel de relés/atenuación en red).</w:t>
      </w:r>
    </w:p>
    <w:p w14:paraId="14FA85F3" w14:textId="56E7E655" w:rsidR="00091FC9" w:rsidRPr="003028B4" w:rsidRDefault="4EBFDEAD" w:rsidP="00451662">
      <w:pPr>
        <w:pStyle w:val="PR2"/>
        <w:numPr>
          <w:ilvl w:val="0"/>
          <w:numId w:val="130"/>
        </w:numPr>
      </w:pPr>
      <w:r>
        <w:rPr>
          <w:lang w:bidi="es-US"/>
        </w:rPr>
        <w:t>La aplicación móvil deberá admitir las siguientes características:</w:t>
      </w:r>
    </w:p>
    <w:p w14:paraId="77F30144" w14:textId="2265BBD9" w:rsidR="00091FC9" w:rsidRDefault="59EC1FDE" w:rsidP="00451662">
      <w:pPr>
        <w:pStyle w:val="PR3"/>
        <w:numPr>
          <w:ilvl w:val="4"/>
          <w:numId w:val="132"/>
        </w:numPr>
      </w:pPr>
      <w:r>
        <w:rPr>
          <w:lang w:bidi="es-US"/>
        </w:rPr>
        <w:t xml:space="preserve">Descubrimiento de los dispositivos de control, las luminarias conectadas, los concentradores de área y el controlador de área. </w:t>
      </w:r>
    </w:p>
    <w:p w14:paraId="07651046" w14:textId="77777777" w:rsidR="00334DDA" w:rsidRDefault="00334DDA" w:rsidP="00334DDA">
      <w:pPr>
        <w:pStyle w:val="PR3"/>
        <w:rPr>
          <w:lang w:bidi="es-US"/>
        </w:rPr>
      </w:pPr>
      <w:r>
        <w:rPr>
          <w:lang w:bidi="es-US"/>
        </w:rPr>
        <w:t>Identificación intermitente de los dispositivos de control, concentradores de área y luminarias conectadas mediante el parpadeo de estos o de los dispositivos conectados a ellos.</w:t>
      </w:r>
    </w:p>
    <w:p w14:paraId="4B2E112A" w14:textId="77777777" w:rsidR="00334DDA" w:rsidRDefault="00334DDA" w:rsidP="00334DDA">
      <w:pPr>
        <w:pStyle w:val="PR3"/>
        <w:rPr>
          <w:lang w:bidi="es-US"/>
        </w:rPr>
      </w:pPr>
      <w:r>
        <w:rPr>
          <w:lang w:bidi="es-US"/>
        </w:rPr>
        <w:t xml:space="preserve">Los dispositivos y sensores conectados identificados indicarán, en la aplicación móvil </w:t>
      </w:r>
      <w:proofErr w:type="spellStart"/>
      <w:r>
        <w:rPr>
          <w:lang w:bidi="es-US"/>
        </w:rPr>
        <w:t>WaveLinx</w:t>
      </w:r>
      <w:proofErr w:type="spellEnd"/>
      <w:r>
        <w:rPr>
          <w:lang w:bidi="es-US"/>
        </w:rPr>
        <w:t>, su selección mediante el ícono del dispositivo que parpadea en la pantalla.</w:t>
      </w:r>
    </w:p>
    <w:p w14:paraId="415559E4" w14:textId="77777777" w:rsidR="00334DDA" w:rsidRDefault="00334DDA" w:rsidP="00334DDA">
      <w:pPr>
        <w:pStyle w:val="PR3"/>
        <w:rPr>
          <w:lang w:bidi="es-US"/>
        </w:rPr>
      </w:pPr>
      <w:r>
        <w:rPr>
          <w:lang w:bidi="es-US"/>
        </w:rPr>
        <w:t>Credenciales de inicio de sesión administrativas únicas para cada controlador de área.</w:t>
      </w:r>
    </w:p>
    <w:p w14:paraId="02664D4F" w14:textId="77777777" w:rsidR="00334DDA" w:rsidRDefault="00334DDA" w:rsidP="00334DDA">
      <w:pPr>
        <w:pStyle w:val="PR3"/>
        <w:rPr>
          <w:lang w:bidi="es-US"/>
        </w:rPr>
      </w:pPr>
      <w:r>
        <w:rPr>
          <w:lang w:bidi="es-US"/>
        </w:rPr>
        <w:t>Detección de dispositivos inalámbricos por controlador de área (Buscar dispositivos).</w:t>
      </w:r>
    </w:p>
    <w:p w14:paraId="29B07C22" w14:textId="77777777" w:rsidR="00334DDA" w:rsidRDefault="00334DDA" w:rsidP="00334DDA">
      <w:pPr>
        <w:pStyle w:val="PR3"/>
        <w:rPr>
          <w:lang w:bidi="es-US"/>
        </w:rPr>
      </w:pPr>
      <w:r>
        <w:rPr>
          <w:lang w:bidi="es-US"/>
        </w:rPr>
        <w:t>Creación de hasta cincuenta (50) áreas por controlador de área.</w:t>
      </w:r>
    </w:p>
    <w:p w14:paraId="7296F32D" w14:textId="77777777" w:rsidR="00334DDA" w:rsidRDefault="00334DDA" w:rsidP="00334DDA">
      <w:pPr>
        <w:pStyle w:val="PR3"/>
        <w:rPr>
          <w:lang w:bidi="es-US"/>
        </w:rPr>
      </w:pPr>
      <w:r>
        <w:rPr>
          <w:lang w:bidi="es-US"/>
        </w:rPr>
        <w:t>Posibilidad de utilizar las funciones de arrastrar y soltar, selección múltiple y filtrado para asociar fácilmente los dispositivos y sensores conectados a un área definida.</w:t>
      </w:r>
    </w:p>
    <w:p w14:paraId="23FBF97D" w14:textId="77777777" w:rsidR="00334DDA" w:rsidRDefault="00334DDA" w:rsidP="00334DDA">
      <w:pPr>
        <w:pStyle w:val="PR3"/>
        <w:rPr>
          <w:lang w:bidi="es-US"/>
        </w:rPr>
      </w:pPr>
      <w:r>
        <w:rPr>
          <w:lang w:bidi="es-US"/>
        </w:rPr>
        <w:t>Creación de hasta dieciséis (16) zonas por área; hasta 200 zonas totales por controlador de área.</w:t>
      </w:r>
    </w:p>
    <w:p w14:paraId="149EF8B8" w14:textId="77777777" w:rsidR="00334DDA" w:rsidRDefault="00334DDA" w:rsidP="00334DDA">
      <w:pPr>
        <w:pStyle w:val="PR3"/>
        <w:rPr>
          <w:lang w:bidi="es-US"/>
        </w:rPr>
      </w:pPr>
      <w:r>
        <w:rPr>
          <w:lang w:bidi="es-US"/>
        </w:rPr>
        <w:t>Creación de hasta seis (6) conjuntos de ocupación por área; hasta 100 conjuntos de ocupación totales por controlador de área.</w:t>
      </w:r>
    </w:p>
    <w:p w14:paraId="31B8692F" w14:textId="77777777" w:rsidR="00334DDA" w:rsidRDefault="00334DDA" w:rsidP="00334DDA">
      <w:pPr>
        <w:pStyle w:val="PR3"/>
        <w:rPr>
          <w:lang w:bidi="es-US"/>
        </w:rPr>
      </w:pPr>
      <w:r>
        <w:rPr>
          <w:lang w:bidi="es-US"/>
        </w:rPr>
        <w:t>Creación de conjuntos de luz diurna por área.</w:t>
      </w:r>
    </w:p>
    <w:p w14:paraId="0AA80EB6" w14:textId="77777777" w:rsidR="00334DDA" w:rsidRDefault="00334DDA" w:rsidP="00334DDA">
      <w:pPr>
        <w:pStyle w:val="PR3"/>
        <w:rPr>
          <w:lang w:bidi="es-US"/>
        </w:rPr>
      </w:pPr>
      <w:r>
        <w:rPr>
          <w:lang w:bidi="es-US"/>
        </w:rPr>
        <w:t>Creación de valores de respuesta a la demanda para cada área.</w:t>
      </w:r>
    </w:p>
    <w:p w14:paraId="6C491F67" w14:textId="77777777" w:rsidR="00334DDA" w:rsidRDefault="00334DDA" w:rsidP="00334DDA">
      <w:pPr>
        <w:pStyle w:val="PR3"/>
        <w:rPr>
          <w:lang w:bidi="es-US"/>
        </w:rPr>
      </w:pPr>
      <w:r>
        <w:rPr>
          <w:lang w:bidi="es-US"/>
        </w:rPr>
        <w:t>Definición de los valores de escena para cada área.</w:t>
      </w:r>
    </w:p>
    <w:p w14:paraId="034A8908" w14:textId="7DCE6720" w:rsidR="00E55236" w:rsidRDefault="00334DDA" w:rsidP="00334DDA">
      <w:pPr>
        <w:pStyle w:val="PR3"/>
      </w:pPr>
      <w:r>
        <w:rPr>
          <w:lang w:bidi="es-US"/>
        </w:rPr>
        <w:t>Definición de eventos temporales para encender o apagar las luces de una o de varias áreas</w:t>
      </w:r>
      <w:r w:rsidR="1BF4CA20">
        <w:rPr>
          <w:lang w:bidi="es-US"/>
        </w:rPr>
        <w:t xml:space="preserve">. </w:t>
      </w:r>
    </w:p>
    <w:p w14:paraId="1003F6B8" w14:textId="4AE36F32" w:rsidR="00E55236" w:rsidRDefault="33ED3313" w:rsidP="00451662">
      <w:pPr>
        <w:pStyle w:val="PR2"/>
      </w:pPr>
      <w:r>
        <w:rPr>
          <w:lang w:bidi="es-US"/>
        </w:rPr>
        <w:t>Entre las funciones de puesta en servicio automática de códigos se incluyen las siguientes:</w:t>
      </w:r>
    </w:p>
    <w:p w14:paraId="349ACB1B" w14:textId="57468DA9" w:rsidR="00E55236" w:rsidRDefault="33ED3313" w:rsidP="00451662">
      <w:pPr>
        <w:pStyle w:val="PR3"/>
        <w:numPr>
          <w:ilvl w:val="4"/>
          <w:numId w:val="133"/>
        </w:numPr>
      </w:pPr>
      <w:r>
        <w:rPr>
          <w:lang w:bidi="es-US"/>
        </w:rPr>
        <w:t>Asociación automática de todos los dispositivos añadidos a un área para proporcionar una secuencia de operaciones conforme al código del Título 24 de California.</w:t>
      </w:r>
    </w:p>
    <w:p w14:paraId="3E7956F9" w14:textId="77777777" w:rsidR="000C1792" w:rsidRDefault="000C1792" w:rsidP="000C1792">
      <w:pPr>
        <w:pStyle w:val="PR3"/>
        <w:rPr>
          <w:lang w:bidi="es-US"/>
        </w:rPr>
      </w:pPr>
      <w:r>
        <w:rPr>
          <w:lang w:bidi="es-US"/>
        </w:rPr>
        <w:lastRenderedPageBreak/>
        <w:t>Todos los sensores de ocupación se unen para proporcionar un encendido automático al 50% del nivel de luz.</w:t>
      </w:r>
    </w:p>
    <w:p w14:paraId="500A75A2" w14:textId="77777777" w:rsidR="000C1792" w:rsidRDefault="000C1792" w:rsidP="000C1792">
      <w:pPr>
        <w:pStyle w:val="PR3"/>
        <w:rPr>
          <w:lang w:bidi="es-US"/>
        </w:rPr>
      </w:pPr>
      <w:r>
        <w:rPr>
          <w:lang w:bidi="es-US"/>
        </w:rPr>
        <w:t>Todos los sensores de ocupación se unen para proporcionar un apagado automático de todas las luminarias y cargas de enchufe después de 20 minutos sin detección de ocupación.</w:t>
      </w:r>
    </w:p>
    <w:p w14:paraId="3C4FA643" w14:textId="77777777" w:rsidR="000C1792" w:rsidRDefault="000C1792" w:rsidP="000C1792">
      <w:pPr>
        <w:pStyle w:val="PR3"/>
        <w:rPr>
          <w:lang w:bidi="es-US"/>
        </w:rPr>
      </w:pPr>
      <w:r>
        <w:rPr>
          <w:lang w:bidi="es-US"/>
        </w:rPr>
        <w:t>Iluminación de luz diurna automática de bucle cerrado de aproximadamente 500 lux (46 pies-candela).</w:t>
      </w:r>
    </w:p>
    <w:p w14:paraId="56AA2D15" w14:textId="77777777" w:rsidR="000C1792" w:rsidRDefault="000C1792" w:rsidP="000C1792">
      <w:pPr>
        <w:pStyle w:val="PR3"/>
        <w:rPr>
          <w:lang w:bidi="es-US"/>
        </w:rPr>
      </w:pPr>
      <w:r>
        <w:rPr>
          <w:lang w:bidi="es-US"/>
        </w:rPr>
        <w:t>El mapeo automático de los botones de la unidad de pared permite que el botón dominante proporcione un nivel de luz del 50%; todos los demás botones proporcionan un control de atenuación multinivel del 30% al 100%.</w:t>
      </w:r>
    </w:p>
    <w:p w14:paraId="5990692D" w14:textId="77777777" w:rsidR="000C1792" w:rsidRDefault="000C1792" w:rsidP="000C1792">
      <w:pPr>
        <w:pStyle w:val="PR3"/>
        <w:rPr>
          <w:lang w:bidi="es-US"/>
        </w:rPr>
      </w:pPr>
      <w:r>
        <w:rPr>
          <w:lang w:bidi="es-US"/>
        </w:rPr>
        <w:t>Visualización automática de los datos de medición de la potencia del área.</w:t>
      </w:r>
    </w:p>
    <w:p w14:paraId="141FC86E" w14:textId="77777777" w:rsidR="000C1792" w:rsidRDefault="000C1792" w:rsidP="000C1792">
      <w:pPr>
        <w:pStyle w:val="PR3"/>
        <w:rPr>
          <w:lang w:bidi="es-US"/>
        </w:rPr>
      </w:pPr>
      <w:r>
        <w:rPr>
          <w:lang w:bidi="es-US"/>
        </w:rPr>
        <w:t>Respuesta automática a la demanda del 20%.</w:t>
      </w:r>
    </w:p>
    <w:p w14:paraId="541EF46E" w14:textId="13F333A1" w:rsidR="00E55236" w:rsidRDefault="000C1792" w:rsidP="000C1792">
      <w:pPr>
        <w:pStyle w:val="PR3"/>
      </w:pPr>
      <w:r>
        <w:rPr>
          <w:lang w:bidi="es-US"/>
        </w:rPr>
        <w:t>Pantallas adicionales, si son necesarias para ajustar la configuración de la puesta en marcha automática de códigos</w:t>
      </w:r>
      <w:r w:rsidR="02DE43EB">
        <w:rPr>
          <w:lang w:bidi="es-US"/>
        </w:rPr>
        <w:t>.</w:t>
      </w:r>
    </w:p>
    <w:p w14:paraId="3AB20CCF" w14:textId="696E804A" w:rsidR="00A010BD" w:rsidRDefault="041DA335" w:rsidP="006868A5">
      <w:pPr>
        <w:pStyle w:val="PR1"/>
        <w:numPr>
          <w:ilvl w:val="0"/>
          <w:numId w:val="112"/>
        </w:numPr>
      </w:pPr>
      <w:r>
        <w:rPr>
          <w:lang w:bidi="es-US"/>
        </w:rPr>
        <w:t>Aplicación de software empresarial basada en la web (instalación en red e híbrida)</w:t>
      </w:r>
    </w:p>
    <w:p w14:paraId="12E1C03E" w14:textId="77777777" w:rsidR="00FD0F87" w:rsidRDefault="190DB312" w:rsidP="00451662">
      <w:pPr>
        <w:pStyle w:val="PR2"/>
        <w:numPr>
          <w:ilvl w:val="0"/>
          <w:numId w:val="135"/>
        </w:numPr>
      </w:pPr>
      <w:r>
        <w:rPr>
          <w:lang w:bidi="es-US"/>
        </w:rPr>
        <w:t xml:space="preserve">Producto base de diseño: iluminación CORE (TRX-LGT). </w:t>
      </w:r>
    </w:p>
    <w:p w14:paraId="6115CB76" w14:textId="0ED81672" w:rsidR="001810BF" w:rsidRPr="003028B4" w:rsidRDefault="67F850FA" w:rsidP="00451662">
      <w:pPr>
        <w:pStyle w:val="PR2"/>
        <w:numPr>
          <w:ilvl w:val="0"/>
          <w:numId w:val="135"/>
        </w:numPr>
      </w:pPr>
      <w:r>
        <w:rPr>
          <w:lang w:bidi="es-US"/>
        </w:rPr>
        <w:t>La aplicación se ofrecerá como una aplicación móvil que funcionará en dispositivos Android e IOS, así como a través de navegadores web compatibles con HTML5, como Microsoft Edge, Google Chrome y Apple Safari.</w:t>
      </w:r>
    </w:p>
    <w:p w14:paraId="0F301A72" w14:textId="28AF904E" w:rsidR="001810BF" w:rsidRPr="003028B4" w:rsidRDefault="67F850FA" w:rsidP="00451662">
      <w:pPr>
        <w:pStyle w:val="PR2"/>
      </w:pPr>
      <w:r>
        <w:rPr>
          <w:lang w:bidi="es-US"/>
        </w:rPr>
        <w:t>La aplicación deberá ser compatible con múltiples tipos de dispositivos informáticos, es decir, teléfonos inteligentes, tabletas, computadoras portátiles y de escritorio.</w:t>
      </w:r>
    </w:p>
    <w:p w14:paraId="42DF6BD1" w14:textId="4DDEF4FE" w:rsidR="001810BF" w:rsidRPr="003028B4" w:rsidRDefault="67F850FA" w:rsidP="00451662">
      <w:pPr>
        <w:pStyle w:val="PR2"/>
      </w:pPr>
      <w:r>
        <w:rPr>
          <w:lang w:bidi="es-US"/>
        </w:rPr>
        <w:t>La aplicación informática estará diseñada para la interacción táctil.</w:t>
      </w:r>
    </w:p>
    <w:p w14:paraId="1F0A5692" w14:textId="58DB427B" w:rsidR="001810BF" w:rsidRDefault="656A247C" w:rsidP="00451662">
      <w:pPr>
        <w:pStyle w:val="PR2"/>
      </w:pPr>
      <w:r>
        <w:rPr>
          <w:lang w:bidi="es-US"/>
        </w:rPr>
        <w:t>La aplicación utilizará HTTPS (cifrado y autenticación basados en certificados estándar del sector para la seguridad).</w:t>
      </w:r>
    </w:p>
    <w:p w14:paraId="63B9FFA4" w14:textId="425D3339" w:rsidR="00B10DA4" w:rsidRDefault="386AA246" w:rsidP="00451662">
      <w:pPr>
        <w:pStyle w:val="PR2"/>
      </w:pPr>
      <w:r>
        <w:rPr>
          <w:lang w:bidi="es-US"/>
        </w:rPr>
        <w:t>El sistema mostrará la ubicación de los dispositivos, zonas y áreas en un plano de piso (jpeg o svg).</w:t>
      </w:r>
    </w:p>
    <w:p w14:paraId="14224C5D" w14:textId="3DA9142F" w:rsidR="00B10DA4" w:rsidRDefault="386AA246" w:rsidP="00451662">
      <w:pPr>
        <w:pStyle w:val="PR2"/>
      </w:pPr>
      <w:r>
        <w:rPr>
          <w:lang w:bidi="es-US"/>
        </w:rPr>
        <w:t>El sistema permitirá que los usuarios supervisen y controlen las luces:</w:t>
      </w:r>
    </w:p>
    <w:p w14:paraId="3002EA36" w14:textId="6FB065F2" w:rsidR="00B10DA4" w:rsidRDefault="386AA246" w:rsidP="00451662">
      <w:pPr>
        <w:pStyle w:val="PR3"/>
        <w:numPr>
          <w:ilvl w:val="4"/>
          <w:numId w:val="136"/>
        </w:numPr>
      </w:pPr>
      <w:r>
        <w:rPr>
          <w:lang w:bidi="es-US"/>
        </w:rPr>
        <w:t>Se puede controlar el estado de encendido y apagado de las luces del área.</w:t>
      </w:r>
    </w:p>
    <w:p w14:paraId="737F74BF" w14:textId="77777777" w:rsidR="000328FA" w:rsidRDefault="000328FA" w:rsidP="000328FA">
      <w:pPr>
        <w:pStyle w:val="PR3"/>
        <w:rPr>
          <w:lang w:bidi="es-US"/>
        </w:rPr>
      </w:pPr>
      <w:r>
        <w:rPr>
          <w:lang w:bidi="es-US"/>
        </w:rPr>
        <w:t>Las luces del área pueden modificarse según una escena predefinida o un nivel de luz definido.</w:t>
      </w:r>
    </w:p>
    <w:p w14:paraId="7BAEB7AC" w14:textId="77777777" w:rsidR="000328FA" w:rsidRDefault="000328FA" w:rsidP="000328FA">
      <w:pPr>
        <w:pStyle w:val="PR3"/>
        <w:rPr>
          <w:lang w:bidi="es-US"/>
        </w:rPr>
      </w:pPr>
      <w:r>
        <w:rPr>
          <w:lang w:bidi="es-US"/>
        </w:rPr>
        <w:t>Las luces de la zona pueden controlarse para corroborar si están encendidas o apagadas.</w:t>
      </w:r>
    </w:p>
    <w:p w14:paraId="78C93E16" w14:textId="77777777" w:rsidR="000328FA" w:rsidRDefault="000328FA" w:rsidP="000328FA">
      <w:pPr>
        <w:pStyle w:val="PR3"/>
        <w:rPr>
          <w:lang w:bidi="es-US"/>
        </w:rPr>
      </w:pPr>
      <w:r>
        <w:rPr>
          <w:lang w:bidi="es-US"/>
        </w:rPr>
        <w:t>Las luces de la zona pueden modificarse para definir el nivel de luz.</w:t>
      </w:r>
    </w:p>
    <w:p w14:paraId="5B5FD4E4" w14:textId="77777777" w:rsidR="000328FA" w:rsidRDefault="000328FA" w:rsidP="000328FA">
      <w:pPr>
        <w:pStyle w:val="PR3"/>
        <w:rPr>
          <w:lang w:bidi="es-US"/>
        </w:rPr>
      </w:pPr>
      <w:r>
        <w:rPr>
          <w:lang w:bidi="es-US"/>
        </w:rPr>
        <w:t xml:space="preserve">Puede supervisarse el estado de conexión o desconexión de cada dispositivo de control. </w:t>
      </w:r>
    </w:p>
    <w:p w14:paraId="63198654" w14:textId="23A14E01" w:rsidR="00B10DA4" w:rsidRDefault="000328FA" w:rsidP="000328FA">
      <w:pPr>
        <w:pStyle w:val="PR3"/>
      </w:pPr>
      <w:r>
        <w:rPr>
          <w:lang w:bidi="es-US"/>
        </w:rPr>
        <w:t>Cada dispositivo de control puede modificarse para definir los niveles de luz o el estado de encendido o apagado</w:t>
      </w:r>
      <w:r w:rsidR="386AA246">
        <w:rPr>
          <w:lang w:bidi="es-US"/>
        </w:rPr>
        <w:t>.</w:t>
      </w:r>
    </w:p>
    <w:p w14:paraId="3989E1E9" w14:textId="24799532" w:rsidR="00B10DA4" w:rsidRDefault="386AA246" w:rsidP="00451662">
      <w:pPr>
        <w:pStyle w:val="PR2"/>
      </w:pPr>
      <w:r>
        <w:rPr>
          <w:lang w:bidi="es-US"/>
        </w:rPr>
        <w:t>El sistema permitirá que los usuarios supervisen y controlen los horarios de las luces:</w:t>
      </w:r>
    </w:p>
    <w:p w14:paraId="221BAF4A" w14:textId="46C51D42" w:rsidR="00B10DA4" w:rsidRDefault="386AA246" w:rsidP="00451662">
      <w:pPr>
        <w:pStyle w:val="PR3"/>
        <w:numPr>
          <w:ilvl w:val="4"/>
          <w:numId w:val="137"/>
        </w:numPr>
      </w:pPr>
      <w:r>
        <w:rPr>
          <w:lang w:bidi="es-US"/>
        </w:rPr>
        <w:t>visualice el horario de luz en un calendario diario, semanal o mensual;</w:t>
      </w:r>
    </w:p>
    <w:p w14:paraId="7357DE64" w14:textId="70AB044C" w:rsidR="00B10DA4" w:rsidRPr="003028B4" w:rsidRDefault="000328FA" w:rsidP="00451662">
      <w:pPr>
        <w:pStyle w:val="PR3"/>
      </w:pPr>
      <w:r w:rsidRPr="000328FA">
        <w:rPr>
          <w:lang w:bidi="es-US"/>
        </w:rPr>
        <w:t>configure el horario de las luces basado en un día específico o en un evento de reloj astronómico</w:t>
      </w:r>
      <w:r w:rsidR="386AA246">
        <w:rPr>
          <w:lang w:bidi="es-US"/>
        </w:rPr>
        <w:t>.</w:t>
      </w:r>
    </w:p>
    <w:p w14:paraId="6C4AADFF" w14:textId="57BE16F7" w:rsidR="001810BF" w:rsidRDefault="656A247C" w:rsidP="00451662">
      <w:pPr>
        <w:pStyle w:val="PR2"/>
      </w:pPr>
      <w:r>
        <w:rPr>
          <w:lang w:bidi="es-US"/>
        </w:rPr>
        <w:t>El sistema mostrará la falla del sistema casi en tiempo real. Las fallas del sistema incluyen la pérdida de comunicación con el controlador de área WaveLinx, la unidad de pared cableada, el sensor de techo cableado, el paquete de interruptores cableado, el sensor de luz diurna cableado, el módulo de control cableado).</w:t>
      </w:r>
    </w:p>
    <w:p w14:paraId="54BE3CAB" w14:textId="288DA1EB" w:rsidR="00302247" w:rsidRDefault="00302247" w:rsidP="00451662">
      <w:pPr>
        <w:pStyle w:val="PR2"/>
      </w:pPr>
      <w:r w:rsidRPr="00302247">
        <w:rPr>
          <w:lang w:bidi="es-US"/>
        </w:rPr>
        <w:t>El sistema mostrará la falla del sistema casi en tiempo real. Las fallas del sistema incluyen la pérdida de comunicación con el controlador de área WaveLinx, la unidad de pared inalámbrica, el sensor de techo inalámbrico, el paquete de interruptores inalámbrico, el sensor de luz diurna inalámbrico, el módulo de control inalámbrico y las alarmas de batería baja para los dispositivos alimentados por batería (unidades de pared inalámbricas y sensores de techo inalámbricos). </w:t>
      </w:r>
    </w:p>
    <w:p w14:paraId="1B77B13D" w14:textId="57BEB5DB" w:rsidR="00B10DA4" w:rsidRDefault="386AA246" w:rsidP="00451662">
      <w:pPr>
        <w:pStyle w:val="PR2"/>
      </w:pPr>
      <w:r>
        <w:rPr>
          <w:lang w:bidi="es-US"/>
        </w:rPr>
        <w:t>El sistema registrará todas las fallas actuales y pasadas del sistema para proporcionar una mejor visión de su estado.</w:t>
      </w:r>
    </w:p>
    <w:p w14:paraId="1D8FB6B8" w14:textId="3A48E5DE" w:rsidR="004E6F87" w:rsidRPr="003028B4" w:rsidRDefault="656A247C" w:rsidP="00451662">
      <w:pPr>
        <w:pStyle w:val="PR2"/>
      </w:pPr>
      <w:r>
        <w:rPr>
          <w:lang w:bidi="es-US"/>
        </w:rPr>
        <w:lastRenderedPageBreak/>
        <w:t>El sistema ofrecerá consejos contextuales para la resolución de problemas para cada alarma.</w:t>
      </w:r>
    </w:p>
    <w:p w14:paraId="04318117" w14:textId="3DA42F72" w:rsidR="004E6F87" w:rsidRDefault="656A247C" w:rsidP="00451662">
      <w:pPr>
        <w:pStyle w:val="PR2"/>
      </w:pPr>
      <w:r>
        <w:rPr>
          <w:lang w:bidi="es-US"/>
        </w:rPr>
        <w:t>El sistema enviará notificaciones por correo electrónico a los usuarios suscritos para cada falla. El usuario deberá proporcionar la información del servidor SMTP para permitir que el WaveLinx CORE envíe notificaciones por correo electrónico.</w:t>
      </w:r>
    </w:p>
    <w:p w14:paraId="2EB3D65F" w14:textId="6FA30C08" w:rsidR="0001698E" w:rsidRPr="00233F0A" w:rsidRDefault="3F6668D1" w:rsidP="00451662">
      <w:pPr>
        <w:pStyle w:val="PR2"/>
      </w:pPr>
      <w:r>
        <w:rPr>
          <w:lang w:bidi="es-US"/>
        </w:rPr>
        <w:t xml:space="preserve">El sistema mostrará el consumo de energía de los edificios controlados por el sistema </w:t>
      </w:r>
      <w:r w:rsidRPr="00233F0A">
        <w:rPr>
          <w:lang w:bidi="es-US"/>
        </w:rPr>
        <w:t>WaveLinx:</w:t>
      </w:r>
    </w:p>
    <w:p w14:paraId="525CCAB5" w14:textId="18FD9F24" w:rsidR="0001698E" w:rsidRPr="00233F0A" w:rsidRDefault="3F6668D1" w:rsidP="00451662">
      <w:pPr>
        <w:pStyle w:val="PR3"/>
        <w:numPr>
          <w:ilvl w:val="4"/>
          <w:numId w:val="138"/>
        </w:numPr>
      </w:pPr>
      <w:r w:rsidRPr="00233F0A">
        <w:rPr>
          <w:lang w:bidi="es-US"/>
        </w:rPr>
        <w:t>El usuario deberá filtrar los datos en función de la jerarquía del edificio, es decir, edificio, pisos, áreas y zonas, así como del tipo de fuente, es decir, iluminación o receptáculos.</w:t>
      </w:r>
    </w:p>
    <w:p w14:paraId="225F538C" w14:textId="77777777" w:rsidR="00233F0A" w:rsidRPr="00233F0A" w:rsidRDefault="00233F0A" w:rsidP="00233F0A">
      <w:pPr>
        <w:pStyle w:val="PR3"/>
        <w:rPr>
          <w:lang w:bidi="es-US"/>
        </w:rPr>
      </w:pPr>
      <w:r w:rsidRPr="00233F0A">
        <w:rPr>
          <w:lang w:bidi="es-US"/>
        </w:rPr>
        <w:t>El sistema recopilará datos sobre el consumo de energía durante 13 meses consecutivos.</w:t>
      </w:r>
    </w:p>
    <w:p w14:paraId="3E14D38A" w14:textId="77777777" w:rsidR="00233F0A" w:rsidRPr="00233F0A" w:rsidRDefault="00233F0A" w:rsidP="00233F0A">
      <w:pPr>
        <w:pStyle w:val="PR3"/>
        <w:rPr>
          <w:lang w:bidi="es-US"/>
        </w:rPr>
      </w:pPr>
      <w:r w:rsidRPr="00233F0A">
        <w:rPr>
          <w:lang w:bidi="es-US"/>
        </w:rPr>
        <w:t>El usuario deberá modificar el período de uso de la energía, es decir, últimas 24 horas, últimos 7 días, últimos 30 días, últimos 3 meses, últimos 12 meses.</w:t>
      </w:r>
    </w:p>
    <w:p w14:paraId="40041905" w14:textId="77777777" w:rsidR="00233F0A" w:rsidRPr="00233F0A" w:rsidRDefault="00233F0A" w:rsidP="00233F0A">
      <w:pPr>
        <w:pStyle w:val="PR3"/>
        <w:rPr>
          <w:lang w:bidi="es-US"/>
        </w:rPr>
      </w:pPr>
      <w:r w:rsidRPr="00233F0A">
        <w:rPr>
          <w:lang w:bidi="es-US"/>
        </w:rPr>
        <w:t>El usuario obtendrá el ahorro energético generado por el sistema de iluminación en kWh para el período seleccionado.</w:t>
      </w:r>
    </w:p>
    <w:p w14:paraId="3322A5DF" w14:textId="78409E05" w:rsidR="0001698E" w:rsidRPr="00233F0A" w:rsidRDefault="00233F0A" w:rsidP="00233F0A">
      <w:pPr>
        <w:pStyle w:val="PR3"/>
      </w:pPr>
      <w:r w:rsidRPr="00233F0A">
        <w:rPr>
          <w:lang w:bidi="es-US"/>
        </w:rPr>
        <w:t>El usuario verá el ahorro energético promedio del período seleccionado.</w:t>
      </w:r>
      <w:r w:rsidR="3F6668D1" w:rsidRPr="00233F0A">
        <w:rPr>
          <w:lang w:bidi="es-US"/>
        </w:rPr>
        <w:t>.</w:t>
      </w:r>
    </w:p>
    <w:p w14:paraId="6E7A6E85" w14:textId="6DB9F3B1" w:rsidR="00897D29" w:rsidRDefault="71C20384" w:rsidP="00451662">
      <w:pPr>
        <w:pStyle w:val="PR2"/>
      </w:pPr>
      <w:r>
        <w:rPr>
          <w:lang w:bidi="es-US"/>
        </w:rPr>
        <w:t>El sistema mostrará el espacio de los edificios controlados por el sistema WaveLinx:</w:t>
      </w:r>
    </w:p>
    <w:p w14:paraId="6808CEDB" w14:textId="1D7BDE77" w:rsidR="00897D29" w:rsidRDefault="71C20384" w:rsidP="00451662">
      <w:pPr>
        <w:pStyle w:val="PR3"/>
        <w:numPr>
          <w:ilvl w:val="4"/>
          <w:numId w:val="139"/>
        </w:numPr>
      </w:pPr>
      <w:r>
        <w:rPr>
          <w:lang w:bidi="es-US"/>
        </w:rPr>
        <w:t>El usuario deberá filtrar los datos en función de la jerarquía del edificio, es decir, edificio, pisos, áreas y zonas.</w:t>
      </w:r>
    </w:p>
    <w:p w14:paraId="55E8DA2F" w14:textId="77777777" w:rsidR="008F38FB" w:rsidRDefault="008F38FB" w:rsidP="008F38FB">
      <w:pPr>
        <w:pStyle w:val="PR3"/>
        <w:rPr>
          <w:lang w:bidi="es-US"/>
        </w:rPr>
      </w:pPr>
      <w:r>
        <w:rPr>
          <w:lang w:bidi="es-US"/>
        </w:rPr>
        <w:t>El sistema deberá ser capaz de recopilar datos sobre el uso del espacio durante 13 meses consecutivos.</w:t>
      </w:r>
    </w:p>
    <w:p w14:paraId="61071E8E" w14:textId="77777777" w:rsidR="008F38FB" w:rsidRDefault="008F38FB" w:rsidP="008F38FB">
      <w:pPr>
        <w:pStyle w:val="PR3"/>
        <w:rPr>
          <w:lang w:bidi="es-US"/>
        </w:rPr>
      </w:pPr>
      <w:r>
        <w:rPr>
          <w:lang w:bidi="es-US"/>
        </w:rPr>
        <w:t xml:space="preserve">El sistema mostrará el uso del espacio basado en 24 horas o en horas de trabajo. </w:t>
      </w:r>
    </w:p>
    <w:p w14:paraId="692C137C" w14:textId="77777777" w:rsidR="008F38FB" w:rsidRDefault="008F38FB" w:rsidP="008F38FB">
      <w:pPr>
        <w:pStyle w:val="PR3"/>
        <w:rPr>
          <w:lang w:bidi="es-US"/>
        </w:rPr>
      </w:pPr>
      <w:r>
        <w:rPr>
          <w:lang w:bidi="es-US"/>
        </w:rPr>
        <w:t>El sistema mostrará en orden de clasificación los espacios menos utilizados a los más utilizados.</w:t>
      </w:r>
    </w:p>
    <w:p w14:paraId="4E069B23" w14:textId="2B17886C" w:rsidR="00897D29" w:rsidRPr="003028B4" w:rsidRDefault="008F38FB" w:rsidP="008F38FB">
      <w:pPr>
        <w:pStyle w:val="PR3"/>
      </w:pPr>
      <w:r>
        <w:rPr>
          <w:lang w:bidi="es-US"/>
        </w:rPr>
        <w:t>El sistema mostrará la utilización del espacio de cada área en función del período seleccionado</w:t>
      </w:r>
      <w:r w:rsidR="68BD67DE">
        <w:rPr>
          <w:lang w:bidi="es-US"/>
        </w:rPr>
        <w:t>.</w:t>
      </w:r>
    </w:p>
    <w:p w14:paraId="32EDD771" w14:textId="052077EA" w:rsidR="00AD2447" w:rsidRPr="00F97F17" w:rsidRDefault="57F360A4" w:rsidP="006868A5">
      <w:pPr>
        <w:pStyle w:val="PR1"/>
        <w:numPr>
          <w:ilvl w:val="0"/>
          <w:numId w:val="112"/>
        </w:numPr>
      </w:pPr>
      <w:r>
        <w:rPr>
          <w:lang w:bidi="es-US"/>
        </w:rPr>
        <w:t xml:space="preserve">Interfaz </w:t>
      </w:r>
      <w:proofErr w:type="spellStart"/>
      <w:r>
        <w:rPr>
          <w:lang w:bidi="es-US"/>
        </w:rPr>
        <w:t>BACnet</w:t>
      </w:r>
      <w:proofErr w:type="spellEnd"/>
      <w:r>
        <w:rPr>
          <w:lang w:bidi="es-US"/>
        </w:rPr>
        <w:t xml:space="preserve"> (instalación en red e híbrida)</w:t>
      </w:r>
    </w:p>
    <w:p w14:paraId="479B5590" w14:textId="70FEA618" w:rsidR="00FD0F87" w:rsidRDefault="57F360A4" w:rsidP="00451662">
      <w:pPr>
        <w:pStyle w:val="PR2"/>
        <w:numPr>
          <w:ilvl w:val="0"/>
          <w:numId w:val="140"/>
        </w:numPr>
      </w:pPr>
      <w:r>
        <w:rPr>
          <w:lang w:bidi="es-US"/>
        </w:rPr>
        <w:t xml:space="preserve">Producto base de diseño: </w:t>
      </w:r>
      <w:r w:rsidR="007625D0" w:rsidRPr="007625D0">
        <w:rPr>
          <w:lang w:bidi="es-US"/>
        </w:rPr>
        <w:t>interfaz</w:t>
      </w:r>
      <w:r>
        <w:rPr>
          <w:lang w:bidi="es-US"/>
        </w:rPr>
        <w:t xml:space="preserve"> </w:t>
      </w:r>
      <w:proofErr w:type="spellStart"/>
      <w:r>
        <w:rPr>
          <w:lang w:bidi="es-US"/>
        </w:rPr>
        <w:t>BACnet</w:t>
      </w:r>
      <w:proofErr w:type="spellEnd"/>
      <w:r>
        <w:rPr>
          <w:lang w:bidi="es-US"/>
        </w:rPr>
        <w:t xml:space="preserve"> (TRX-BACNET). </w:t>
      </w:r>
    </w:p>
    <w:p w14:paraId="5188B645" w14:textId="0D7E76AC" w:rsidR="00D0620E" w:rsidRDefault="4B5D292A" w:rsidP="00451662">
      <w:pPr>
        <w:pStyle w:val="PR2"/>
        <w:numPr>
          <w:ilvl w:val="0"/>
          <w:numId w:val="140"/>
        </w:numPr>
      </w:pPr>
      <w:r>
        <w:rPr>
          <w:lang w:bidi="es-US"/>
        </w:rPr>
        <w:t>Permite que un sistema de automatización de edificios recopile datos del sistema de iluminación y controle los niveles de luz en los distintos espacios.</w:t>
      </w:r>
    </w:p>
    <w:p w14:paraId="5510D564" w14:textId="48B57C74" w:rsidR="004E6F87" w:rsidRDefault="1B062426" w:rsidP="00451662">
      <w:pPr>
        <w:pStyle w:val="PR2"/>
      </w:pPr>
      <w:r>
        <w:rPr>
          <w:lang w:bidi="es-US"/>
        </w:rPr>
        <w:t>La interfaz BACnet/IP deberá admitir las siguientes capacidades:</w:t>
      </w:r>
    </w:p>
    <w:p w14:paraId="3F7FD7A2" w14:textId="11C0F0EB" w:rsidR="004E6F87" w:rsidRPr="003028B4" w:rsidRDefault="36DCB959" w:rsidP="00451662">
      <w:pPr>
        <w:pStyle w:val="PR3"/>
        <w:numPr>
          <w:ilvl w:val="4"/>
          <w:numId w:val="142"/>
        </w:numPr>
      </w:pPr>
      <w:r>
        <w:rPr>
          <w:lang w:bidi="es-US"/>
        </w:rPr>
        <w:t>Monitor (lectura):</w:t>
      </w:r>
    </w:p>
    <w:p w14:paraId="17AC3FD0" w14:textId="77777777" w:rsidR="004E6F87" w:rsidRPr="003028B4" w:rsidRDefault="004E6F87" w:rsidP="00451662">
      <w:pPr>
        <w:pStyle w:val="PR4"/>
        <w:numPr>
          <w:ilvl w:val="7"/>
          <w:numId w:val="227"/>
        </w:numPr>
      </w:pPr>
      <w:r w:rsidRPr="003028B4">
        <w:rPr>
          <w:lang w:bidi="es-US"/>
        </w:rPr>
        <w:t>escena del área;</w:t>
      </w:r>
    </w:p>
    <w:p w14:paraId="51594633" w14:textId="428C2636" w:rsidR="004E6F87" w:rsidRPr="003028B4" w:rsidRDefault="004E6F87" w:rsidP="00451662">
      <w:pPr>
        <w:pStyle w:val="PR4"/>
      </w:pPr>
      <w:r w:rsidRPr="003028B4">
        <w:rPr>
          <w:lang w:bidi="es-US"/>
        </w:rPr>
        <w:t>uso energético del área;</w:t>
      </w:r>
    </w:p>
    <w:p w14:paraId="0006D5DC" w14:textId="77777777" w:rsidR="004E6F87" w:rsidRPr="003028B4" w:rsidRDefault="004E6F87" w:rsidP="00451662">
      <w:pPr>
        <w:pStyle w:val="PR4"/>
      </w:pPr>
      <w:r w:rsidRPr="003028B4">
        <w:rPr>
          <w:lang w:bidi="es-US"/>
        </w:rPr>
        <w:t>nivel de zona de atenuación (0-100%);</w:t>
      </w:r>
    </w:p>
    <w:p w14:paraId="6D9CC409" w14:textId="77777777" w:rsidR="004E6F87" w:rsidRPr="003028B4" w:rsidRDefault="004E6F87" w:rsidP="00451662">
      <w:pPr>
        <w:pStyle w:val="PR4"/>
      </w:pPr>
      <w:r w:rsidRPr="003028B4">
        <w:rPr>
          <w:lang w:bidi="es-US"/>
        </w:rPr>
        <w:t xml:space="preserve">nivel de zona encendido/apagado (encendido/apagado); </w:t>
      </w:r>
    </w:p>
    <w:p w14:paraId="4652351F" w14:textId="76A927B0" w:rsidR="004E6F87" w:rsidRPr="003028B4" w:rsidRDefault="004E6F87" w:rsidP="00451662">
      <w:pPr>
        <w:pStyle w:val="PR4"/>
      </w:pPr>
      <w:r w:rsidRPr="003028B4">
        <w:rPr>
          <w:lang w:bidi="es-US"/>
        </w:rPr>
        <w:t>estado ocupado/desocupado del sensor de ocupación;</w:t>
      </w:r>
    </w:p>
    <w:p w14:paraId="3300E82F" w14:textId="72FEAF9C" w:rsidR="004E6F87" w:rsidRPr="003028B4" w:rsidRDefault="004E6F87" w:rsidP="00451662">
      <w:pPr>
        <w:pStyle w:val="PR4"/>
      </w:pPr>
      <w:r w:rsidRPr="003028B4">
        <w:rPr>
          <w:lang w:bidi="es-US"/>
        </w:rPr>
        <w:t xml:space="preserve">nivel del sensor de luz diurna. </w:t>
      </w:r>
    </w:p>
    <w:p w14:paraId="2E76F599" w14:textId="006682B2" w:rsidR="004E6F87" w:rsidRPr="003028B4" w:rsidRDefault="36DCB959" w:rsidP="00451662">
      <w:pPr>
        <w:pStyle w:val="PR3"/>
      </w:pPr>
      <w:r>
        <w:rPr>
          <w:lang w:bidi="es-US"/>
        </w:rPr>
        <w:t>Control (escritura):</w:t>
      </w:r>
    </w:p>
    <w:p w14:paraId="5D13F774" w14:textId="77777777" w:rsidR="004E6F87" w:rsidRPr="003028B4" w:rsidRDefault="004E6F87" w:rsidP="00451662">
      <w:pPr>
        <w:pStyle w:val="PR4"/>
        <w:numPr>
          <w:ilvl w:val="7"/>
          <w:numId w:val="143"/>
        </w:numPr>
      </w:pPr>
      <w:r w:rsidRPr="003028B4">
        <w:rPr>
          <w:lang w:bidi="es-US"/>
        </w:rPr>
        <w:t>activación/desactivación de la respuesta a la demanda en todo el sistema;</w:t>
      </w:r>
    </w:p>
    <w:p w14:paraId="0162BEC4" w14:textId="0E6DDD21" w:rsidR="002446A8" w:rsidRDefault="002446A8" w:rsidP="00451662">
      <w:pPr>
        <w:pStyle w:val="PR4"/>
      </w:pPr>
      <w:r>
        <w:rPr>
          <w:lang w:bidi="es-US"/>
        </w:rPr>
        <w:t>nivel de luz del edificio;</w:t>
      </w:r>
    </w:p>
    <w:p w14:paraId="27C8EDF1" w14:textId="01B8B8B3" w:rsidR="002446A8" w:rsidRDefault="002446A8" w:rsidP="00451662">
      <w:pPr>
        <w:pStyle w:val="PR4"/>
      </w:pPr>
      <w:r>
        <w:rPr>
          <w:lang w:bidi="es-US"/>
        </w:rPr>
        <w:t>nivel de luz del piso;</w:t>
      </w:r>
    </w:p>
    <w:p w14:paraId="7E97E25C" w14:textId="60B1003B" w:rsidR="004E6F87" w:rsidRPr="003028B4" w:rsidRDefault="004E6F87" w:rsidP="00451662">
      <w:pPr>
        <w:pStyle w:val="PR4"/>
      </w:pPr>
      <w:r w:rsidRPr="003028B4">
        <w:rPr>
          <w:lang w:bidi="es-US"/>
        </w:rPr>
        <w:t>escena del área;</w:t>
      </w:r>
    </w:p>
    <w:p w14:paraId="7FB861F0" w14:textId="77777777" w:rsidR="004E6F87" w:rsidRPr="003028B4" w:rsidRDefault="004E6F87" w:rsidP="00451662">
      <w:pPr>
        <w:pStyle w:val="PR4"/>
      </w:pPr>
      <w:r w:rsidRPr="003028B4">
        <w:rPr>
          <w:lang w:bidi="es-US"/>
        </w:rPr>
        <w:t>nivel de zona de atenuación (0-100%);</w:t>
      </w:r>
    </w:p>
    <w:p w14:paraId="21656379" w14:textId="77777777" w:rsidR="004E6F87" w:rsidRPr="003028B4" w:rsidRDefault="004E6F87" w:rsidP="00451662">
      <w:pPr>
        <w:pStyle w:val="PR4"/>
      </w:pPr>
      <w:r w:rsidRPr="003028B4">
        <w:rPr>
          <w:lang w:bidi="es-US"/>
        </w:rPr>
        <w:t>nivel de zona encendido/apagado (encendido/apagado);</w:t>
      </w:r>
    </w:p>
    <w:p w14:paraId="1B72E11F" w14:textId="77777777" w:rsidR="004E6F87" w:rsidRPr="003028B4" w:rsidRDefault="004E6F87" w:rsidP="00451662">
      <w:pPr>
        <w:pStyle w:val="PR4"/>
      </w:pPr>
      <w:r w:rsidRPr="003028B4">
        <w:rPr>
          <w:lang w:bidi="es-US"/>
        </w:rPr>
        <w:t>sensor de ocupación.</w:t>
      </w:r>
    </w:p>
    <w:p w14:paraId="061D9326" w14:textId="71B861D3" w:rsidR="003076B6" w:rsidRPr="003028B4" w:rsidRDefault="0022F2BA" w:rsidP="00451662">
      <w:pPr>
        <w:pStyle w:val="PR2"/>
      </w:pPr>
      <w:r>
        <w:rPr>
          <w:lang w:bidi="es-US"/>
        </w:rPr>
        <w:t>El sistema permitirá que los usuarios seleccionen qué tipos de objetos expondrá el sistema, es decir, área, zonas, dispositivos de entrada y dispositivos de salida.</w:t>
      </w:r>
    </w:p>
    <w:p w14:paraId="21E5C172" w14:textId="3C2E257D" w:rsidR="0014117B" w:rsidRPr="00F97F17" w:rsidRDefault="0022F2BA" w:rsidP="00451662">
      <w:pPr>
        <w:pStyle w:val="PR2"/>
      </w:pPr>
      <w:r>
        <w:rPr>
          <w:lang w:bidi="es-US"/>
        </w:rPr>
        <w:t>El sistema deberá ser capaz de generar el documento electrónico PICS y permitir a los usuarios enviar el documento PICS a las partes interesadas adecuadas.</w:t>
      </w:r>
    </w:p>
    <w:p w14:paraId="1ED5AE77" w14:textId="50F06CF8" w:rsidR="0014117B" w:rsidRPr="00F97F17" w:rsidRDefault="57F360A4" w:rsidP="006868A5">
      <w:pPr>
        <w:pStyle w:val="PR1"/>
        <w:numPr>
          <w:ilvl w:val="0"/>
          <w:numId w:val="112"/>
        </w:numPr>
      </w:pPr>
      <w:r>
        <w:rPr>
          <w:lang w:bidi="es-US"/>
        </w:rPr>
        <w:t>Interfaz API (instalación en red e híbrida)</w:t>
      </w:r>
    </w:p>
    <w:p w14:paraId="365D9AC5" w14:textId="77777777" w:rsidR="00FD0F87" w:rsidRDefault="57F360A4" w:rsidP="00451662">
      <w:pPr>
        <w:pStyle w:val="PR2"/>
        <w:numPr>
          <w:ilvl w:val="0"/>
          <w:numId w:val="144"/>
        </w:numPr>
      </w:pPr>
      <w:r>
        <w:rPr>
          <w:lang w:bidi="es-US"/>
        </w:rPr>
        <w:lastRenderedPageBreak/>
        <w:t xml:space="preserve">Producto base de diseño: API pública (TRX-API). </w:t>
      </w:r>
    </w:p>
    <w:p w14:paraId="5DB6DDF9" w14:textId="42F1191F" w:rsidR="00930170" w:rsidRPr="003028B4" w:rsidRDefault="1895A816" w:rsidP="00451662">
      <w:pPr>
        <w:pStyle w:val="PR2"/>
        <w:numPr>
          <w:ilvl w:val="0"/>
          <w:numId w:val="144"/>
        </w:numPr>
      </w:pPr>
      <w:r>
        <w:rPr>
          <w:lang w:bidi="es-US"/>
        </w:rPr>
        <w:t>La interfaz de programación de aplicaciones (API) pública permite a sistemas de terceros intercambiar datos con el dispositivo WaveLinx CORE.</w:t>
      </w:r>
    </w:p>
    <w:p w14:paraId="57674795" w14:textId="054C9FD4" w:rsidR="00930170" w:rsidRPr="003028B4" w:rsidRDefault="1895A816" w:rsidP="00451662">
      <w:pPr>
        <w:pStyle w:val="PR2"/>
      </w:pPr>
      <w:r>
        <w:rPr>
          <w:lang w:bidi="es-US"/>
        </w:rPr>
        <w:t>La interfaz de la API pública admitirá las siguientes funciones de obtención/entrega</w:t>
      </w:r>
    </w:p>
    <w:p w14:paraId="1EE189EC" w14:textId="5FEE060A" w:rsidR="00930170" w:rsidRPr="003028B4" w:rsidRDefault="1895A816" w:rsidP="00451662">
      <w:pPr>
        <w:pStyle w:val="PR3"/>
        <w:numPr>
          <w:ilvl w:val="4"/>
          <w:numId w:val="146"/>
        </w:numPr>
      </w:pPr>
      <w:r>
        <w:rPr>
          <w:lang w:bidi="es-US"/>
        </w:rPr>
        <w:t>Obtención:</w:t>
      </w:r>
    </w:p>
    <w:p w14:paraId="32CE1F32" w14:textId="67B0A825" w:rsidR="00930170" w:rsidRPr="003028B4" w:rsidRDefault="1895A816" w:rsidP="00451662">
      <w:pPr>
        <w:pStyle w:val="PR4"/>
        <w:numPr>
          <w:ilvl w:val="7"/>
          <w:numId w:val="147"/>
        </w:numPr>
      </w:pPr>
      <w:r>
        <w:rPr>
          <w:lang w:bidi="es-US"/>
        </w:rPr>
        <w:t>información sobre la jerarquía del edificio (áreas, zonas, dispositivos);</w:t>
      </w:r>
    </w:p>
    <w:p w14:paraId="6206CB99" w14:textId="6FAC48E8" w:rsidR="00930170" w:rsidRPr="003028B4" w:rsidRDefault="1895A816" w:rsidP="00451662">
      <w:pPr>
        <w:pStyle w:val="PR4"/>
      </w:pPr>
      <w:r>
        <w:rPr>
          <w:lang w:bidi="es-US"/>
        </w:rPr>
        <w:t>escena del área;</w:t>
      </w:r>
    </w:p>
    <w:p w14:paraId="7441ECD4" w14:textId="525E55F5" w:rsidR="00930170" w:rsidRPr="003028B4" w:rsidRDefault="1895A816" w:rsidP="00451662">
      <w:pPr>
        <w:pStyle w:val="PR4"/>
      </w:pPr>
      <w:r>
        <w:rPr>
          <w:lang w:bidi="es-US"/>
        </w:rPr>
        <w:t>uso energético del área;</w:t>
      </w:r>
    </w:p>
    <w:p w14:paraId="25E8D243" w14:textId="1E2838AB" w:rsidR="00930170" w:rsidRPr="003028B4" w:rsidRDefault="1895A816" w:rsidP="00451662">
      <w:pPr>
        <w:pStyle w:val="PR4"/>
      </w:pPr>
      <w:r>
        <w:rPr>
          <w:lang w:bidi="es-US"/>
        </w:rPr>
        <w:t>nivel de zona de atenuación (0-100%);</w:t>
      </w:r>
    </w:p>
    <w:p w14:paraId="77422CEF" w14:textId="6EB381EF" w:rsidR="00930170" w:rsidRPr="003028B4" w:rsidRDefault="7A8A4DF2" w:rsidP="00451662">
      <w:pPr>
        <w:pStyle w:val="PR4"/>
      </w:pPr>
      <w:r>
        <w:rPr>
          <w:lang w:bidi="es-US"/>
        </w:rPr>
        <w:t xml:space="preserve">nivel de zona (encendido/apagado); </w:t>
      </w:r>
    </w:p>
    <w:p w14:paraId="5E6300BD" w14:textId="7D9A5EAF" w:rsidR="00930170" w:rsidRDefault="1895A816" w:rsidP="00451662">
      <w:pPr>
        <w:pStyle w:val="PR4"/>
      </w:pPr>
      <w:r>
        <w:rPr>
          <w:lang w:bidi="es-US"/>
        </w:rPr>
        <w:t>estado ocupado/desocupado del sensor de ocupación;</w:t>
      </w:r>
    </w:p>
    <w:p w14:paraId="59F2B971" w14:textId="42D9DA16" w:rsidR="00432FFC" w:rsidRPr="003028B4" w:rsidRDefault="063AF115" w:rsidP="00451662">
      <w:pPr>
        <w:pStyle w:val="PR4"/>
      </w:pPr>
      <w:r>
        <w:rPr>
          <w:lang w:bidi="es-US"/>
        </w:rPr>
        <w:t>estado de ocupación;</w:t>
      </w:r>
    </w:p>
    <w:p w14:paraId="65AC725B" w14:textId="797FCFEF" w:rsidR="00930170" w:rsidRPr="003028B4" w:rsidRDefault="1895A816" w:rsidP="00451662">
      <w:pPr>
        <w:pStyle w:val="PR4"/>
      </w:pPr>
      <w:r>
        <w:rPr>
          <w:lang w:bidi="es-US"/>
        </w:rPr>
        <w:t xml:space="preserve">nivel del sensor de luz diurna. </w:t>
      </w:r>
    </w:p>
    <w:p w14:paraId="44C14DC6" w14:textId="27AED97A" w:rsidR="00930170" w:rsidRPr="003028B4" w:rsidRDefault="1895A816" w:rsidP="00451662">
      <w:pPr>
        <w:pStyle w:val="PR3"/>
      </w:pPr>
      <w:r>
        <w:rPr>
          <w:lang w:bidi="es-US"/>
        </w:rPr>
        <w:t>Entrega:</w:t>
      </w:r>
    </w:p>
    <w:p w14:paraId="670F6CA0" w14:textId="12D5C33E" w:rsidR="00930170" w:rsidRPr="003028B4" w:rsidRDefault="00930170" w:rsidP="00451662">
      <w:pPr>
        <w:pStyle w:val="PR4"/>
        <w:numPr>
          <w:ilvl w:val="7"/>
          <w:numId w:val="148"/>
        </w:numPr>
      </w:pPr>
      <w:r w:rsidRPr="003028B4">
        <w:rPr>
          <w:lang w:bidi="es-US"/>
        </w:rPr>
        <w:t>activación/desactivación de la respuesta a la demanda en todo el sistema;</w:t>
      </w:r>
    </w:p>
    <w:p w14:paraId="0F268589" w14:textId="77777777" w:rsidR="00930170" w:rsidRPr="003028B4" w:rsidRDefault="00930170" w:rsidP="00451662">
      <w:pPr>
        <w:pStyle w:val="PR4"/>
      </w:pPr>
      <w:r w:rsidRPr="003028B4">
        <w:rPr>
          <w:lang w:bidi="es-US"/>
        </w:rPr>
        <w:t>escena del área;</w:t>
      </w:r>
    </w:p>
    <w:p w14:paraId="1D2F4314" w14:textId="77777777" w:rsidR="00930170" w:rsidRPr="003028B4" w:rsidRDefault="00930170" w:rsidP="00451662">
      <w:pPr>
        <w:pStyle w:val="PR4"/>
      </w:pPr>
      <w:r w:rsidRPr="003028B4">
        <w:rPr>
          <w:lang w:bidi="es-US"/>
        </w:rPr>
        <w:t>nivel de zona de atenuación (0-100%);</w:t>
      </w:r>
    </w:p>
    <w:p w14:paraId="6A292E8E" w14:textId="6C83D93D" w:rsidR="00930170" w:rsidRPr="003028B4" w:rsidRDefault="00036C53" w:rsidP="00451662">
      <w:pPr>
        <w:pStyle w:val="PR4"/>
      </w:pPr>
      <w:r>
        <w:rPr>
          <w:lang w:bidi="es-US"/>
        </w:rPr>
        <w:t>nivel de zona (encendido/apagado);</w:t>
      </w:r>
    </w:p>
    <w:p w14:paraId="36F90FB5" w14:textId="77777777" w:rsidR="00930170" w:rsidRDefault="00930170" w:rsidP="00451662">
      <w:pPr>
        <w:pStyle w:val="PR4"/>
      </w:pPr>
      <w:r w:rsidRPr="003028B4">
        <w:rPr>
          <w:lang w:bidi="es-US"/>
        </w:rPr>
        <w:t>sensor de ocupación.</w:t>
      </w:r>
    </w:p>
    <w:p w14:paraId="4F38C722" w14:textId="56F79CD2" w:rsidR="005D7695" w:rsidRPr="003028B4" w:rsidRDefault="2C04D819" w:rsidP="006868A5">
      <w:pPr>
        <w:pStyle w:val="PR1"/>
        <w:numPr>
          <w:ilvl w:val="0"/>
          <w:numId w:val="112"/>
        </w:numPr>
      </w:pPr>
      <w:r>
        <w:rPr>
          <w:lang w:bidi="es-US"/>
        </w:rPr>
        <w:t>Interfaz OpenADR (instalación en red e híbrida)</w:t>
      </w:r>
    </w:p>
    <w:p w14:paraId="0DD5D2ED" w14:textId="0AAB7734" w:rsidR="00FD0F87" w:rsidRDefault="2C04D819" w:rsidP="00451662">
      <w:pPr>
        <w:pStyle w:val="PR2"/>
        <w:numPr>
          <w:ilvl w:val="0"/>
          <w:numId w:val="149"/>
        </w:numPr>
      </w:pPr>
      <w:r>
        <w:rPr>
          <w:lang w:bidi="es-US"/>
        </w:rPr>
        <w:t xml:space="preserve">Producto base de diseño: </w:t>
      </w:r>
      <w:r w:rsidR="007625D0" w:rsidRPr="007625D0">
        <w:rPr>
          <w:lang w:bidi="es-US"/>
        </w:rPr>
        <w:t>interfaz</w:t>
      </w:r>
      <w:r>
        <w:rPr>
          <w:lang w:bidi="es-US"/>
        </w:rPr>
        <w:t xml:space="preserve"> </w:t>
      </w:r>
      <w:proofErr w:type="spellStart"/>
      <w:r>
        <w:rPr>
          <w:lang w:bidi="es-US"/>
        </w:rPr>
        <w:t>OpenADR</w:t>
      </w:r>
      <w:proofErr w:type="spellEnd"/>
      <w:r>
        <w:rPr>
          <w:lang w:bidi="es-US"/>
        </w:rPr>
        <w:t xml:space="preserve"> (TRX-OPNADR) </w:t>
      </w:r>
    </w:p>
    <w:p w14:paraId="768E13A9" w14:textId="0FAA2839" w:rsidR="00B10DA4" w:rsidRDefault="32849A1A" w:rsidP="00451662">
      <w:pPr>
        <w:pStyle w:val="PR2"/>
        <w:numPr>
          <w:ilvl w:val="0"/>
          <w:numId w:val="149"/>
        </w:numPr>
      </w:pPr>
      <w:r>
        <w:rPr>
          <w:lang w:bidi="es-US"/>
        </w:rPr>
        <w:t>La interfaz permitirá que los usuarios conecten su sistema de iluminación con el Servidor de Automatización de la Respuesta a la Demanda (DRAS) de las compañías eléctricas mediante el uso del estándar OpenADR 2.0b.</w:t>
      </w:r>
    </w:p>
    <w:p w14:paraId="27B9A128" w14:textId="357D21C7" w:rsidR="00B10DA4" w:rsidRDefault="386AA246" w:rsidP="00451662">
      <w:pPr>
        <w:pStyle w:val="PR2"/>
      </w:pPr>
      <w:r>
        <w:rPr>
          <w:lang w:bidi="es-US"/>
        </w:rPr>
        <w:t>Inicie el evento de caída de la carga mediante el protocolo OpenADR en un evento de autodemanda-respuesta sin interfaces ni pasarelas adicionales.</w:t>
      </w:r>
    </w:p>
    <w:p w14:paraId="2B49E7D1" w14:textId="345D30FD" w:rsidR="0092100B" w:rsidRPr="003028B4" w:rsidRDefault="2A38CD61" w:rsidP="006868A5">
      <w:pPr>
        <w:pStyle w:val="PR1"/>
        <w:numPr>
          <w:ilvl w:val="0"/>
          <w:numId w:val="112"/>
        </w:numPr>
      </w:pPr>
      <w:r w:rsidRPr="004B67F1">
        <w:rPr>
          <w:lang w:bidi="es-US"/>
        </w:rPr>
        <w:t>Servicios de localización en tiempo real (instalación en red e híbrida)</w:t>
      </w:r>
    </w:p>
    <w:p w14:paraId="4DBB3EDC" w14:textId="6B8AC530" w:rsidR="0092100B" w:rsidRPr="00451662" w:rsidRDefault="2A38CD61" w:rsidP="00451662">
      <w:pPr>
        <w:pStyle w:val="PR2"/>
        <w:numPr>
          <w:ilvl w:val="0"/>
          <w:numId w:val="232"/>
        </w:numPr>
        <w:rPr>
          <w:lang w:val="es-ES"/>
        </w:rPr>
      </w:pPr>
      <w:r>
        <w:rPr>
          <w:lang w:bidi="es-US"/>
        </w:rPr>
        <w:t xml:space="preserve">Producto base de diseño: CORE Locate (TRX-LOCBAS). </w:t>
      </w:r>
    </w:p>
    <w:p w14:paraId="3FE4E914" w14:textId="138D8159" w:rsidR="007029D6" w:rsidRPr="00300356" w:rsidRDefault="6B44091E" w:rsidP="00451662">
      <w:pPr>
        <w:pStyle w:val="PR2"/>
      </w:pPr>
      <w:r>
        <w:rPr>
          <w:lang w:bidi="es-US"/>
        </w:rPr>
        <w:t>La aplicación permitirá que los usuarios activen servicios de localización en tiempo real en los sensores.</w:t>
      </w:r>
    </w:p>
    <w:p w14:paraId="5324AF9D" w14:textId="185BBA88" w:rsidR="00765A6C" w:rsidRPr="00300356" w:rsidRDefault="6B44091E" w:rsidP="00451662">
      <w:pPr>
        <w:pStyle w:val="PR2"/>
      </w:pPr>
      <w:r>
        <w:rPr>
          <w:lang w:bidi="es-US"/>
        </w:rPr>
        <w:t>La aplicación permitirá que los usuarios asignen etiquetas de Bluetooth de baja energía a activos o personas.</w:t>
      </w:r>
    </w:p>
    <w:p w14:paraId="3DB310B0" w14:textId="4EEAD900" w:rsidR="007D47F3" w:rsidRDefault="6B44091E" w:rsidP="00451662">
      <w:pPr>
        <w:pStyle w:val="PR2"/>
      </w:pPr>
      <w:r>
        <w:rPr>
          <w:lang w:bidi="es-US"/>
        </w:rPr>
        <w:t>La aplicación permitirá que los usuarios rastreen equipos y localicen personas en tiempo real en una vista de piso y de tabla con “precisión a nivel de sala”.</w:t>
      </w:r>
    </w:p>
    <w:p w14:paraId="06441A71" w14:textId="3CA12A06" w:rsidR="00E12D01" w:rsidRPr="00300356" w:rsidRDefault="61A38FF8" w:rsidP="00451662">
      <w:pPr>
        <w:pStyle w:val="PR2"/>
      </w:pPr>
      <w:r>
        <w:rPr>
          <w:lang w:bidi="es-US"/>
        </w:rPr>
        <w:t>La aplicación no necesitará ningún acceso a la red pública ni a la nube del fabricante para funcionar.</w:t>
      </w:r>
    </w:p>
    <w:p w14:paraId="67C73712" w14:textId="0D87077A" w:rsidR="00970622" w:rsidRPr="00300356" w:rsidRDefault="3EF609A1" w:rsidP="00451662">
      <w:pPr>
        <w:pStyle w:val="PR2"/>
      </w:pPr>
      <w:r>
        <w:rPr>
          <w:lang w:bidi="es-US"/>
        </w:rPr>
        <w:t>La aplicación permitirá que los usuarios busquen y filtren un activo concreto que estén buscando mediante el uso de los parámetros definidos.</w:t>
      </w:r>
    </w:p>
    <w:p w14:paraId="2E93E9F4" w14:textId="2BB151AF" w:rsidR="00970622" w:rsidRDefault="3EF609A1" w:rsidP="00451662">
      <w:pPr>
        <w:pStyle w:val="PR2"/>
      </w:pPr>
      <w:r>
        <w:rPr>
          <w:lang w:bidi="es-US"/>
        </w:rPr>
        <w:t>La aplicación permitirá que los usuarios revisen el movimiento histórico de un activo o de una persona en la vista de piso.</w:t>
      </w:r>
    </w:p>
    <w:p w14:paraId="783401F6" w14:textId="6D1D857E" w:rsidR="0043022A" w:rsidRPr="006868A5" w:rsidRDefault="608FAD00" w:rsidP="00451662">
      <w:pPr>
        <w:pStyle w:val="PR2"/>
        <w:rPr>
          <w:lang w:val="es-ES"/>
        </w:rPr>
      </w:pPr>
      <w:r>
        <w:rPr>
          <w:lang w:bidi="es-US"/>
        </w:rPr>
        <w:t>La aplicación proporcionará datos de localización a través de la interfaz de programación de aplicaciones (API).</w:t>
      </w:r>
    </w:p>
    <w:p w14:paraId="79B4D1DC" w14:textId="7D2AF831" w:rsidR="0043022A" w:rsidRPr="00F97F17" w:rsidRDefault="098377C4" w:rsidP="006868A5">
      <w:pPr>
        <w:pStyle w:val="PR1"/>
        <w:numPr>
          <w:ilvl w:val="0"/>
          <w:numId w:val="112"/>
        </w:numPr>
      </w:pPr>
      <w:r w:rsidRPr="004B67F1">
        <w:rPr>
          <w:lang w:bidi="es-US"/>
        </w:rPr>
        <w:t>Aplicación de utilización del espacio (instalación en red e híbrida)</w:t>
      </w:r>
    </w:p>
    <w:p w14:paraId="3A9C801C" w14:textId="77777777" w:rsidR="00855F84" w:rsidRDefault="098377C4" w:rsidP="00451662">
      <w:pPr>
        <w:pStyle w:val="PR2"/>
        <w:numPr>
          <w:ilvl w:val="0"/>
          <w:numId w:val="152"/>
        </w:numPr>
      </w:pPr>
      <w:r>
        <w:rPr>
          <w:lang w:bidi="es-US"/>
        </w:rPr>
        <w:t xml:space="preserve">Producto base de diseño: CORE Insights (TRX-INSOCC). </w:t>
      </w:r>
    </w:p>
    <w:p w14:paraId="03521C9F" w14:textId="37650C7A" w:rsidR="00D41B43" w:rsidRDefault="3D787A4E" w:rsidP="00451662">
      <w:pPr>
        <w:pStyle w:val="PR2"/>
        <w:numPr>
          <w:ilvl w:val="0"/>
          <w:numId w:val="152"/>
        </w:numPr>
      </w:pPr>
      <w:r>
        <w:rPr>
          <w:lang w:bidi="es-US"/>
        </w:rPr>
        <w:t>CORE Insights es una aplicación de software de análisis de espacios que permite a los usuarios supervisar, comparar y analizar el uso de sus espacios para transformar los datos de ocupación recopilados por los dispositivos inteligentes y sensores de ocupación WaveLinx CORE/WaveLinx de forma que ofrezcan una comprensión más profunda de la utilización del espacio del edificio y generen oportunidades de optimización.</w:t>
      </w:r>
    </w:p>
    <w:p w14:paraId="0A3A9C6F" w14:textId="48E4DB6C" w:rsidR="00F938C6" w:rsidRDefault="2A6E20BE" w:rsidP="00451662">
      <w:pPr>
        <w:pStyle w:val="PR2"/>
      </w:pPr>
      <w:r>
        <w:rPr>
          <w:lang w:bidi="es-US"/>
        </w:rPr>
        <w:t xml:space="preserve">Esta aplicación almacena 13 meses de datos de ocupación. </w:t>
      </w:r>
    </w:p>
    <w:p w14:paraId="4E9F78F6" w14:textId="030BAE41" w:rsidR="00BF1F2A" w:rsidRPr="00BF1F2A" w:rsidRDefault="0726A68C" w:rsidP="00451662">
      <w:pPr>
        <w:pStyle w:val="PR2"/>
      </w:pPr>
      <w:r>
        <w:rPr>
          <w:lang w:bidi="es-US"/>
        </w:rPr>
        <w:lastRenderedPageBreak/>
        <w:t>Esta aplicación permitirá que los usuarios vean los indicadores clave de rendimiento del espacio, como el porcentaje promedio de ocupación, el número de espacios vacíos en comparación con el espacio total, el número de edificios, los pisos y los sensores.</w:t>
      </w:r>
    </w:p>
    <w:p w14:paraId="56F04743" w14:textId="18AADDF2" w:rsidR="00BF1F2A" w:rsidRPr="00BF1F2A" w:rsidRDefault="04C74C43" w:rsidP="00451662">
      <w:pPr>
        <w:pStyle w:val="PR2"/>
      </w:pPr>
      <w:r>
        <w:rPr>
          <w:lang w:bidi="es-US"/>
        </w:rPr>
        <w:t>Esta aplicación permitirá que los usuarios accedan al panel de control de ocupación para supervisar la ocupación de espacios en toda la empresa: sitios/edificios/pisos/etc.</w:t>
      </w:r>
    </w:p>
    <w:p w14:paraId="5AEAC3A2" w14:textId="4EA3E451" w:rsidR="00BF1F2A" w:rsidRPr="00BF1F2A" w:rsidRDefault="1E1C7328" w:rsidP="00451662">
      <w:pPr>
        <w:pStyle w:val="PR2"/>
      </w:pPr>
      <w:r>
        <w:rPr>
          <w:lang w:bidi="es-US"/>
        </w:rPr>
        <w:t>Esta aplicación permitirá que los usuarios naveguen rápidamente desde el nivel de empresa hasta los niveles de sitio, área y sala (vistas compatibles con computadoras de escritorio, portátiles y quioscos).</w:t>
      </w:r>
    </w:p>
    <w:p w14:paraId="7B600613" w14:textId="3D87738B" w:rsidR="00BF1F2A" w:rsidRPr="00BF1F2A" w:rsidRDefault="1E1C7328" w:rsidP="00451662">
      <w:pPr>
        <w:pStyle w:val="PR2"/>
      </w:pPr>
      <w:r>
        <w:rPr>
          <w:lang w:bidi="es-US"/>
        </w:rPr>
        <w:t>Esta aplicación permitirá que los usuarios vean la información de ocupación en el plano del piso en tiempo real.</w:t>
      </w:r>
    </w:p>
    <w:p w14:paraId="2DD5FA25" w14:textId="3BE1F7D5" w:rsidR="00BF1F2A" w:rsidRPr="00BF1F2A" w:rsidRDefault="44FF9D66" w:rsidP="00451662">
      <w:pPr>
        <w:pStyle w:val="PR2"/>
      </w:pPr>
      <w:r>
        <w:rPr>
          <w:lang w:bidi="es-US"/>
        </w:rPr>
        <w:t>Esta aplicación proporciona a los usuarios una vista de gráfico intuitiva con tendencias espaciales: gráfico de barras/líneas, informes.</w:t>
      </w:r>
    </w:p>
    <w:p w14:paraId="2FDD9416" w14:textId="2FB85248" w:rsidR="00B67296" w:rsidRPr="00300356" w:rsidRDefault="363D80C5" w:rsidP="00451662">
      <w:pPr>
        <w:pStyle w:val="PR2"/>
      </w:pPr>
      <w:r>
        <w:rPr>
          <w:lang w:bidi="es-US"/>
        </w:rPr>
        <w:t>La aplicación proporcionará datos de ocupación a través de la interfaz de programación de aplicaciones (API).</w:t>
      </w:r>
    </w:p>
    <w:p w14:paraId="30CFB7B3" w14:textId="3B6519B1" w:rsidR="00226179" w:rsidRDefault="00C67FF2" w:rsidP="005A6F5A">
      <w:pPr>
        <w:pStyle w:val="PRT"/>
      </w:pPr>
      <w:r>
        <w:rPr>
          <w:lang w:bidi="es-US"/>
        </w:rPr>
        <w:t xml:space="preserve"> EJECUCIÓN</w:t>
      </w:r>
    </w:p>
    <w:p w14:paraId="537AA2B6" w14:textId="120758F9" w:rsidR="00226179" w:rsidRPr="005A6F5A" w:rsidRDefault="00226179" w:rsidP="005A6F5A">
      <w:pPr>
        <w:pStyle w:val="Heading2"/>
      </w:pPr>
      <w:r w:rsidRPr="005A6F5A">
        <w:rPr>
          <w:lang w:bidi="es-US"/>
        </w:rPr>
        <w:t>INSTALACIÓN</w:t>
      </w:r>
    </w:p>
    <w:p w14:paraId="2038925A" w14:textId="6933B393" w:rsidR="001A690B" w:rsidRPr="003028B4" w:rsidRDefault="03A77096" w:rsidP="006868A5">
      <w:pPr>
        <w:pStyle w:val="PR1"/>
        <w:numPr>
          <w:ilvl w:val="0"/>
          <w:numId w:val="154"/>
        </w:numPr>
      </w:pPr>
      <w:r>
        <w:rPr>
          <w:lang w:bidi="es-US"/>
        </w:rPr>
        <w:t xml:space="preserve">El contratista instalador instalará y cableará completamente el sistema de control, tal y como se muestra en los planos. El contratista deberá completar todas las conexiones eléctricas de todos los circuitos de control. </w:t>
      </w:r>
    </w:p>
    <w:p w14:paraId="6E529DCB" w14:textId="5F200D3D" w:rsidR="001A690B" w:rsidRPr="003028B4" w:rsidRDefault="03A77096" w:rsidP="006868A5">
      <w:pPr>
        <w:pStyle w:val="PR1"/>
        <w:numPr>
          <w:ilvl w:val="0"/>
          <w:numId w:val="112"/>
        </w:numPr>
      </w:pPr>
      <w:r>
        <w:rPr>
          <w:lang w:bidi="es-US"/>
        </w:rPr>
        <w:t>Instale el trabajo de esta Sección de acuerdo con las instrucciones impresas del fabricante a menos que se indique lo contrario.</w:t>
      </w:r>
    </w:p>
    <w:p w14:paraId="27266137" w14:textId="7D484597" w:rsidR="001A690B" w:rsidRPr="003028B4" w:rsidRDefault="03A77096" w:rsidP="006868A5">
      <w:pPr>
        <w:pStyle w:val="PR1"/>
        <w:numPr>
          <w:ilvl w:val="0"/>
          <w:numId w:val="112"/>
        </w:numPr>
      </w:pPr>
      <w:r>
        <w:rPr>
          <w:lang w:bidi="es-US"/>
        </w:rPr>
        <w:t>Proporcione documentación escrita o generada por computadora sobre la puesta en servicio del sistema, incluida una descripción de habitación por habitación que incluya lo siguiente:</w:t>
      </w:r>
    </w:p>
    <w:p w14:paraId="16013F32" w14:textId="4A96B996" w:rsidR="001A690B" w:rsidRPr="003028B4" w:rsidRDefault="03A77096" w:rsidP="006868A5">
      <w:pPr>
        <w:pStyle w:val="PR1"/>
        <w:numPr>
          <w:ilvl w:val="0"/>
          <w:numId w:val="112"/>
        </w:numPr>
      </w:pPr>
      <w:r>
        <w:rPr>
          <w:lang w:bidi="es-US"/>
        </w:rPr>
        <w:t>parámetros de los sensores, tiempos de retardo, sensibilidades y punto de configuración de iluminación diurna;</w:t>
      </w:r>
    </w:p>
    <w:p w14:paraId="468AF26E" w14:textId="5F20D76B" w:rsidR="001A690B" w:rsidRPr="006868A5" w:rsidRDefault="434D7CC7" w:rsidP="006868A5">
      <w:pPr>
        <w:pStyle w:val="PR1"/>
        <w:numPr>
          <w:ilvl w:val="0"/>
          <w:numId w:val="112"/>
        </w:numPr>
        <w:rPr>
          <w:b/>
          <w:bCs/>
        </w:rPr>
      </w:pPr>
      <w:r>
        <w:rPr>
          <w:lang w:bidi="es-US"/>
        </w:rPr>
        <w:t>una secuencia de operaciones (por ejemplo, manual encendido, automático apagado, etc.);</w:t>
      </w:r>
    </w:p>
    <w:p w14:paraId="39BA6BB8" w14:textId="2C11FCC6" w:rsidR="001A690B" w:rsidRPr="006868A5" w:rsidRDefault="03A77096" w:rsidP="006868A5">
      <w:pPr>
        <w:pStyle w:val="PR1"/>
        <w:numPr>
          <w:ilvl w:val="0"/>
          <w:numId w:val="112"/>
        </w:numPr>
        <w:rPr>
          <w:b/>
          <w:bCs/>
        </w:rPr>
      </w:pPr>
      <w:r>
        <w:rPr>
          <w:lang w:bidi="es-US"/>
        </w:rPr>
        <w:t>parámetros de carga (por ejemplo, aviso de parpadeo, etc.).</w:t>
      </w:r>
    </w:p>
    <w:p w14:paraId="6ED3EC43" w14:textId="34B35F3E" w:rsidR="001A690B" w:rsidRPr="005A6F5A" w:rsidRDefault="279C11F8" w:rsidP="005A6F5A">
      <w:pPr>
        <w:pStyle w:val="Heading2"/>
      </w:pPr>
      <w:r w:rsidRPr="5B5CE439">
        <w:rPr>
          <w:lang w:bidi="es-US"/>
        </w:rPr>
        <w:t>ASISTENCIA Y SERVICIO DE PRODUCTOS</w:t>
      </w:r>
    </w:p>
    <w:p w14:paraId="7C5BCC56" w14:textId="58860468" w:rsidR="001A690B" w:rsidRPr="006868A5" w:rsidRDefault="03A77096" w:rsidP="006868A5">
      <w:pPr>
        <w:pStyle w:val="PR1"/>
        <w:numPr>
          <w:ilvl w:val="0"/>
          <w:numId w:val="155"/>
        </w:numPr>
        <w:rPr>
          <w:b/>
        </w:rPr>
      </w:pPr>
      <w:r>
        <w:rPr>
          <w:lang w:bidi="es-US"/>
        </w:rPr>
        <w:t>La asistencia telefónica de la fábrica estará disponible sin costo alguno para el propietario. La asistencia de la fábrica resolverá las cuestiones de programación o aplicación relativas al equipo de control.</w:t>
      </w:r>
    </w:p>
    <w:p w14:paraId="2B60BA0D" w14:textId="4439668A" w:rsidR="001A690B" w:rsidRPr="005A6F5A" w:rsidRDefault="03A77096" w:rsidP="005A6F5A">
      <w:pPr>
        <w:pStyle w:val="Heading2"/>
      </w:pPr>
      <w:r w:rsidRPr="005A6F5A">
        <w:rPr>
          <w:lang w:bidi="es-US"/>
        </w:rPr>
        <w:t>PUESTA EN SERVICIO POR LA FÁBRICA (OPCIONAL)</w:t>
      </w:r>
    </w:p>
    <w:p w14:paraId="2D0EAC15" w14:textId="78140B1A" w:rsidR="001A690B" w:rsidRPr="003028B4" w:rsidRDefault="03A77096" w:rsidP="006868A5">
      <w:pPr>
        <w:pStyle w:val="PR1"/>
        <w:numPr>
          <w:ilvl w:val="0"/>
          <w:numId w:val="156"/>
        </w:numPr>
      </w:pPr>
      <w:r>
        <w:rPr>
          <w:lang w:bidi="es-US"/>
        </w:rPr>
        <w:t xml:space="preserve">Una vez finalizada la instalación, el representante autorizado de la fábrica pondrá en servicio el sistema. Este verificará que el sistema esté completo y en pleno funcionamiento. </w:t>
      </w:r>
    </w:p>
    <w:p w14:paraId="15D5E16B" w14:textId="3BFCFC39" w:rsidR="001A690B" w:rsidRPr="003028B4" w:rsidRDefault="03A77096" w:rsidP="006868A5">
      <w:pPr>
        <w:pStyle w:val="PR1"/>
        <w:numPr>
          <w:ilvl w:val="0"/>
          <w:numId w:val="112"/>
        </w:numPr>
      </w:pPr>
      <w:r>
        <w:rPr>
          <w:lang w:bidi="es-US"/>
        </w:rPr>
        <w:t xml:space="preserve">El contratista eléctrico notificará por escrito al fabricante y al ingeniero eléctrico la fecha de puesta en marcha y el ajuste del sistema con veintiún (21) días laborables de antelación. </w:t>
      </w:r>
    </w:p>
    <w:p w14:paraId="42443719" w14:textId="373530BB" w:rsidR="001A690B" w:rsidRPr="003028B4" w:rsidRDefault="03A77096" w:rsidP="006868A5">
      <w:pPr>
        <w:pStyle w:val="PR1"/>
        <w:numPr>
          <w:ilvl w:val="0"/>
          <w:numId w:val="112"/>
        </w:numPr>
      </w:pPr>
      <w:r>
        <w:rPr>
          <w:lang w:bidi="es-US"/>
        </w:rPr>
        <w:t xml:space="preserve">Una vez finalizada la puesta en servicio del sistema, el técnico autorizado por la fábrica impartirá la capacitación adecuada al personal del propietario sobre el ajuste y el mantenimiento del sistema. </w:t>
      </w:r>
    </w:p>
    <w:p w14:paraId="1D488E2E" w14:textId="77777777" w:rsidR="00F61919" w:rsidRPr="003028B4" w:rsidRDefault="29BE914A" w:rsidP="006868A5">
      <w:pPr>
        <w:pStyle w:val="PR1"/>
        <w:numPr>
          <w:ilvl w:val="0"/>
          <w:numId w:val="112"/>
        </w:numPr>
      </w:pPr>
      <w:r>
        <w:rPr>
          <w:lang w:bidi="es-US"/>
        </w:rPr>
        <w:t>Calificaciones para el ingeniero de servicio de campo certificado por la fábrica:</w:t>
      </w:r>
    </w:p>
    <w:p w14:paraId="6EFD2255" w14:textId="77777777" w:rsidR="00F61919" w:rsidRPr="003028B4" w:rsidRDefault="29BE914A" w:rsidP="006868A5">
      <w:pPr>
        <w:pStyle w:val="PR1"/>
        <w:numPr>
          <w:ilvl w:val="0"/>
          <w:numId w:val="112"/>
        </w:numPr>
      </w:pPr>
      <w:r>
        <w:rPr>
          <w:lang w:bidi="es-US"/>
        </w:rPr>
        <w:t>Certificado por el fabricante del equipo en el sistema instalado.</w:t>
      </w:r>
    </w:p>
    <w:p w14:paraId="05BDD6B5" w14:textId="0CA459E9" w:rsidR="00F61919" w:rsidRPr="003028B4" w:rsidRDefault="29BE914A" w:rsidP="006868A5">
      <w:pPr>
        <w:pStyle w:val="PR1"/>
        <w:numPr>
          <w:ilvl w:val="0"/>
          <w:numId w:val="112"/>
        </w:numPr>
      </w:pPr>
      <w:r>
        <w:rPr>
          <w:lang w:bidi="es-US"/>
        </w:rPr>
        <w:t>Realice la primera visita una vez finalizada la instalación del sistema WaveLinx Connected Lighting:</w:t>
      </w:r>
    </w:p>
    <w:p w14:paraId="2E4A920B" w14:textId="7D009973" w:rsidR="00F61919" w:rsidRPr="003028B4" w:rsidRDefault="29BE914A" w:rsidP="006868A5">
      <w:pPr>
        <w:pStyle w:val="PR1"/>
        <w:numPr>
          <w:ilvl w:val="0"/>
          <w:numId w:val="112"/>
        </w:numPr>
      </w:pPr>
      <w:r>
        <w:rPr>
          <w:lang w:bidi="es-US"/>
        </w:rPr>
        <w:t>verifique la ubicación de los controladores de área WaveLinx;</w:t>
      </w:r>
    </w:p>
    <w:p w14:paraId="339531B3" w14:textId="77777777" w:rsidR="00F61919" w:rsidRPr="003028B4" w:rsidRDefault="29BE914A" w:rsidP="006868A5">
      <w:pPr>
        <w:pStyle w:val="PR1"/>
        <w:numPr>
          <w:ilvl w:val="0"/>
          <w:numId w:val="112"/>
        </w:numPr>
      </w:pPr>
      <w:r>
        <w:rPr>
          <w:lang w:bidi="es-US"/>
        </w:rPr>
        <w:lastRenderedPageBreak/>
        <w:t>verifique la aplicación del proceso del Grupo de Construcción;</w:t>
      </w:r>
    </w:p>
    <w:p w14:paraId="44A14A25" w14:textId="323F1ED4" w:rsidR="00F61919" w:rsidRPr="003028B4" w:rsidRDefault="29BE914A" w:rsidP="006868A5">
      <w:pPr>
        <w:pStyle w:val="PR1"/>
        <w:numPr>
          <w:ilvl w:val="0"/>
          <w:numId w:val="112"/>
        </w:numPr>
      </w:pPr>
      <w:r>
        <w:rPr>
          <w:lang w:bidi="es-US"/>
        </w:rPr>
        <w:t xml:space="preserve"> </w:t>
      </w:r>
      <w:r>
        <w:rPr>
          <w:lang w:bidi="es-US"/>
        </w:rPr>
        <w:tab/>
        <w:t>identifique los dispositivos y programas conectados mediante la aplicación móvil WaveLinx y la puesta en servicio automática de códigos;</w:t>
      </w:r>
    </w:p>
    <w:p w14:paraId="06B527AB" w14:textId="09D4A8F5" w:rsidR="00F61919" w:rsidRPr="003028B4" w:rsidRDefault="29BE914A" w:rsidP="006868A5">
      <w:pPr>
        <w:pStyle w:val="PR1"/>
        <w:numPr>
          <w:ilvl w:val="0"/>
          <w:numId w:val="112"/>
        </w:numPr>
      </w:pPr>
      <w:r>
        <w:rPr>
          <w:lang w:bidi="es-US"/>
        </w:rPr>
        <w:t>verifique que el control del funcionamiento del sistema se base en la Secuencia de Operaciones (SOO) definida;</w:t>
      </w:r>
    </w:p>
    <w:p w14:paraId="0A25D632" w14:textId="77777777" w:rsidR="00F61919" w:rsidRPr="003028B4" w:rsidRDefault="29BE914A" w:rsidP="006868A5">
      <w:pPr>
        <w:pStyle w:val="PR1"/>
        <w:numPr>
          <w:ilvl w:val="0"/>
          <w:numId w:val="112"/>
        </w:numPr>
      </w:pPr>
      <w:r>
        <w:rPr>
          <w:lang w:bidi="es-US"/>
        </w:rPr>
        <w:t>obtenga la aprobación de las funciones del sistema.</w:t>
      </w:r>
    </w:p>
    <w:p w14:paraId="14529DC2" w14:textId="5107C3D6" w:rsidR="00F61919" w:rsidRPr="003028B4" w:rsidRDefault="29BE914A" w:rsidP="006868A5">
      <w:pPr>
        <w:pStyle w:val="PR1"/>
        <w:numPr>
          <w:ilvl w:val="0"/>
          <w:numId w:val="112"/>
        </w:numPr>
      </w:pPr>
      <w:r>
        <w:rPr>
          <w:lang w:bidi="es-US"/>
        </w:rPr>
        <w:t>Realice una segunda visita (opcional) para hacer una demostración y capacitar al representante del propietario sobre las capacidades del sistema, la programación, los ajustes y el mantenimiento.</w:t>
      </w:r>
    </w:p>
    <w:p w14:paraId="73EB7CBB" w14:textId="5DEE3DBA" w:rsidR="00F61919" w:rsidRDefault="29BE914A" w:rsidP="006868A5">
      <w:pPr>
        <w:pStyle w:val="PR1"/>
        <w:numPr>
          <w:ilvl w:val="0"/>
          <w:numId w:val="112"/>
        </w:numPr>
      </w:pPr>
      <w:r>
        <w:rPr>
          <w:lang w:bidi="es-US"/>
        </w:rPr>
        <w:t>Debido al funcionamiento del edificio, es posible que sea necesario poner en marcha el sistema WaveLinx Connected Lighting fuera del horario laboral habitual (de lunes a viernes, de 7 a. m. a 5 p. m.).</w:t>
      </w:r>
    </w:p>
    <w:p w14:paraId="21DEC545" w14:textId="1DFB1842" w:rsidR="004011BC" w:rsidRPr="005A6F5A" w:rsidRDefault="06F34B89" w:rsidP="005A6F5A">
      <w:pPr>
        <w:pStyle w:val="Heading2"/>
        <w:rPr>
          <w:b w:val="0"/>
          <w:bCs w:val="0"/>
        </w:rPr>
      </w:pPr>
      <w:r w:rsidRPr="005A6F5A">
        <w:rPr>
          <w:lang w:bidi="es-US"/>
        </w:rPr>
        <w:t>ACTIVIDADES DE CIERRE (OPCIONALES)</w:t>
      </w:r>
    </w:p>
    <w:p w14:paraId="1DA23A32" w14:textId="0D5C817B" w:rsidR="00F008EF" w:rsidRDefault="77E889E9" w:rsidP="006868A5">
      <w:pPr>
        <w:pStyle w:val="PR1"/>
        <w:numPr>
          <w:ilvl w:val="0"/>
          <w:numId w:val="157"/>
        </w:numPr>
      </w:pPr>
      <w:r>
        <w:rPr>
          <w:lang w:bidi="es-US"/>
        </w:rPr>
        <w:t>Visita de capacitación</w:t>
      </w:r>
    </w:p>
    <w:p w14:paraId="35C98F76" w14:textId="08A7DBEE" w:rsidR="00F008EF" w:rsidRDefault="49A06314" w:rsidP="00451662">
      <w:pPr>
        <w:pStyle w:val="PR2"/>
        <w:numPr>
          <w:ilvl w:val="0"/>
          <w:numId w:val="158"/>
        </w:numPr>
      </w:pPr>
      <w:r>
        <w:rPr>
          <w:lang w:bidi="es-US"/>
        </w:rPr>
        <w:t xml:space="preserve">El fabricante del sistema de control de iluminación proporcionará un (1) día de capacitación adicional sobre el sistema </w:t>
      </w:r>
      <w:r w:rsidRPr="00451662">
        <w:rPr>
          <w:i/>
          <w:iCs/>
          <w:lang w:bidi="es-US"/>
        </w:rPr>
        <w:t>in situ</w:t>
      </w:r>
      <w:r>
        <w:rPr>
          <w:lang w:bidi="es-US"/>
        </w:rPr>
        <w:t xml:space="preserve"> al personal de la obra. Esto formará parte de la segunda visita del servicio de campo a la obra. Una tercera visita por separado tendrá un cargo adicional.</w:t>
      </w:r>
    </w:p>
    <w:p w14:paraId="2CEDC14F" w14:textId="0A758153" w:rsidR="00F008EF" w:rsidRDefault="539623C7" w:rsidP="006868A5">
      <w:pPr>
        <w:pStyle w:val="PR1"/>
        <w:numPr>
          <w:ilvl w:val="0"/>
          <w:numId w:val="112"/>
        </w:numPr>
      </w:pPr>
      <w:r>
        <w:rPr>
          <w:lang w:bidi="es-US"/>
        </w:rPr>
        <w:t xml:space="preserve">Recorrido </w:t>
      </w:r>
      <w:r w:rsidRPr="007625D0">
        <w:rPr>
          <w:i/>
          <w:iCs/>
          <w:lang w:bidi="es-US"/>
        </w:rPr>
        <w:t>in situ</w:t>
      </w:r>
    </w:p>
    <w:p w14:paraId="7ABBF94F" w14:textId="366FAE30" w:rsidR="00F008EF" w:rsidRDefault="49A06314" w:rsidP="00451662">
      <w:pPr>
        <w:pStyle w:val="PR2"/>
        <w:numPr>
          <w:ilvl w:val="0"/>
          <w:numId w:val="159"/>
        </w:numPr>
      </w:pPr>
      <w:r>
        <w:rPr>
          <w:lang w:bidi="es-US"/>
        </w:rPr>
        <w:t xml:space="preserve">En el caso de los proyectos LEED, el fabricante llevará a cabo un recorrido </w:t>
      </w:r>
      <w:r w:rsidRPr="00451662">
        <w:rPr>
          <w:i/>
          <w:iCs/>
          <w:lang w:bidi="es-US"/>
        </w:rPr>
        <w:t>in situ</w:t>
      </w:r>
      <w:r>
        <w:rPr>
          <w:lang w:bidi="es-US"/>
        </w:rPr>
        <w:t xml:space="preserve"> para demostrar la funcionalidad del sistema a un agente de puesta en marcha.</w:t>
      </w:r>
    </w:p>
    <w:p w14:paraId="659A9F82" w14:textId="7444EA45" w:rsidR="00F008EF" w:rsidRDefault="49A06314" w:rsidP="00451662">
      <w:pPr>
        <w:pStyle w:val="PR2"/>
      </w:pPr>
      <w:r>
        <w:rPr>
          <w:lang w:bidi="es-US"/>
        </w:rPr>
        <w:t>Durante esta visita, el ingeniero de servicio de campo del fabricante realizará tareas a petición del representante de la instalación o del agente de puesta en servicio, como demostrar las funciones de control de pared, explicar o describir la funcionalidad de los sensores de ocupación o de luz diurna.</w:t>
      </w:r>
    </w:p>
    <w:p w14:paraId="6727182B" w14:textId="3363D140" w:rsidR="00F008EF" w:rsidRDefault="71662EB6" w:rsidP="00451662">
      <w:pPr>
        <w:pStyle w:val="PR2"/>
      </w:pPr>
      <w:r>
        <w:rPr>
          <w:lang w:bidi="es-US"/>
        </w:rPr>
        <w:t>El fabricante del sistema de control de iluminación proporcionará un ingeniero de servicio de campo certificado por la fábrica para demostrar la funcionalidad del sistema al agente de puesta en marcha.</w:t>
      </w:r>
    </w:p>
    <w:p w14:paraId="64A1464A" w14:textId="123D67E1" w:rsidR="002A0DB3" w:rsidRPr="005A6F5A" w:rsidRDefault="49A06314" w:rsidP="005A6F5A">
      <w:pPr>
        <w:pStyle w:val="Heading2"/>
      </w:pPr>
      <w:r w:rsidRPr="005A6F5A">
        <w:rPr>
          <w:lang w:bidi="es-US"/>
        </w:rPr>
        <w:t>MANTENIMIENTO</w:t>
      </w:r>
    </w:p>
    <w:p w14:paraId="0AF3CDF2" w14:textId="1B21F9A2" w:rsidR="001F5367" w:rsidRPr="003028B4" w:rsidRDefault="49A06314" w:rsidP="006868A5">
      <w:pPr>
        <w:pStyle w:val="PR1"/>
        <w:numPr>
          <w:ilvl w:val="0"/>
          <w:numId w:val="160"/>
        </w:numPr>
      </w:pPr>
      <w:r>
        <w:rPr>
          <w:lang w:bidi="es-US"/>
        </w:rPr>
        <w:t xml:space="preserve">Es posible prestar servicio de asistencia </w:t>
      </w:r>
      <w:r w:rsidRPr="007625D0">
        <w:rPr>
          <w:i/>
          <w:iCs/>
          <w:lang w:bidi="es-US"/>
        </w:rPr>
        <w:t>in situ</w:t>
      </w:r>
      <w:r>
        <w:rPr>
          <w:lang w:bidi="es-US"/>
        </w:rPr>
        <w:t xml:space="preserve"> dentro de las 48 horas en cualquier lugar del territorio continental de Estados Unidos y dentro de las 72 horas en todo el mundo, excepto cuando se requieran visados especiales.</w:t>
      </w:r>
    </w:p>
    <w:p w14:paraId="2B835AA4" w14:textId="079438B4" w:rsidR="001F5367" w:rsidRPr="003028B4" w:rsidRDefault="49A06314" w:rsidP="006868A5">
      <w:pPr>
        <w:pStyle w:val="PR1"/>
        <w:numPr>
          <w:ilvl w:val="0"/>
          <w:numId w:val="112"/>
        </w:numPr>
      </w:pPr>
      <w:r>
        <w:rPr>
          <w:lang w:bidi="es-US"/>
        </w:rPr>
        <w:t>Ofrezca un contrato de servicio renovable de forma anual, que incluya piezas, mano de obra de fábrica y visitas anuales de capacitación. Ponga a disposición contratos de servicio de hasta diez (10) años después de la fecha de puesta en marcha del sistema. Es necesario verificar la disponibilidad de contratos de servicio y garantías adicionales.</w:t>
      </w:r>
    </w:p>
    <w:p w14:paraId="45A40D3D" w14:textId="17C2E39C" w:rsidR="001F5367" w:rsidRPr="003028B4" w:rsidRDefault="49A06314" w:rsidP="006868A5">
      <w:pPr>
        <w:pStyle w:val="PR1"/>
        <w:numPr>
          <w:ilvl w:val="0"/>
          <w:numId w:val="112"/>
        </w:numPr>
      </w:pPr>
      <w:r>
        <w:rPr>
          <w:lang w:bidi="es-US"/>
        </w:rPr>
        <w:t xml:space="preserve">Antes de la licitación, confirme si se requerirá una reunión </w:t>
      </w:r>
      <w:r w:rsidRPr="007625D0">
        <w:rPr>
          <w:i/>
          <w:iCs/>
          <w:lang w:bidi="es-US"/>
        </w:rPr>
        <w:t>in situ</w:t>
      </w:r>
      <w:r>
        <w:rPr>
          <w:lang w:bidi="es-US"/>
        </w:rPr>
        <w:t xml:space="preserve"> entre el fabricante del sistema de control de iluminación y un representante de las instalaciones para evaluar el uso del sistema después de que el edificio haya estado en funcionamiento durante un período predeterminado. Si se requiere una visita del servicio de campo para las pruebas de aceptación o la puesta en servicio del edificio, se cobrará como servicio adicional a menos que se indique detalladamente en las especificaciones y se confirme en la lista de materiales de WaveLinx Connected Lighting.</w:t>
      </w:r>
    </w:p>
    <w:p w14:paraId="5E7994A2" w14:textId="77777777" w:rsidR="005A6F5A" w:rsidRDefault="005A6F5A" w:rsidP="5B5CE439">
      <w:pPr>
        <w:ind w:left="0" w:firstLine="0"/>
        <w:jc w:val="center"/>
        <w:rPr>
          <w:rFonts w:ascii="Arial" w:eastAsia="Arial" w:hAnsi="Arial" w:cs="Arial"/>
          <w:b/>
          <w:bCs/>
        </w:rPr>
      </w:pPr>
    </w:p>
    <w:p w14:paraId="36D2F381" w14:textId="58C6D22B" w:rsidR="002A0DB3" w:rsidRPr="003028B4" w:rsidRDefault="737A0CA6" w:rsidP="005A6F5A">
      <w:pPr>
        <w:ind w:left="0" w:firstLine="0"/>
        <w:jc w:val="center"/>
        <w:rPr>
          <w:rFonts w:ascii="Arial" w:eastAsia="Arial" w:hAnsi="Arial" w:cs="Arial"/>
          <w:b/>
          <w:bCs/>
        </w:rPr>
      </w:pPr>
      <w:r w:rsidRPr="5B5CE439">
        <w:rPr>
          <w:rFonts w:ascii="Arial" w:eastAsia="Arial" w:hAnsi="Arial" w:cs="Arial"/>
          <w:b/>
          <w:lang w:bidi="es-US"/>
        </w:rPr>
        <w:t>FIN DE LA SECCIÓN</w:t>
      </w:r>
    </w:p>
    <w:sectPr w:rsidR="002A0DB3" w:rsidRPr="003028B4" w:rsidSect="0001698E">
      <w:footerReference w:type="default" r:id="rId11"/>
      <w:pgSz w:w="12240" w:h="15840"/>
      <w:pgMar w:top="1440" w:right="1440" w:bottom="1440" w:left="153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CFF266" w14:textId="77777777" w:rsidR="00DD0DEF" w:rsidRDefault="00DD0DEF" w:rsidP="00182FBF">
      <w:r>
        <w:separator/>
      </w:r>
    </w:p>
  </w:endnote>
  <w:endnote w:type="continuationSeparator" w:id="0">
    <w:p w14:paraId="74438E53" w14:textId="77777777" w:rsidR="00DD0DEF" w:rsidRDefault="00DD0DEF" w:rsidP="00182FBF">
      <w:r>
        <w:continuationSeparator/>
      </w:r>
    </w:p>
  </w:endnote>
  <w:endnote w:type="continuationNotice" w:id="1">
    <w:p w14:paraId="517769A8" w14:textId="77777777" w:rsidR="00DD0DEF" w:rsidRDefault="00DD0D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LT Std 65 Medium">
    <w:altName w:val="Times New Roman"/>
    <w:panose1 w:val="02000603020000020003"/>
    <w:charset w:val="00"/>
    <w:family w:val="auto"/>
    <w:notTrueType/>
    <w:pitch w:val="variable"/>
    <w:sig w:usb0="800000AF" w:usb1="5000204A" w:usb2="00000000" w:usb3="00000000" w:csb0="0000009B"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LT Std 47 Cn Lt">
    <w:altName w:val="Calibri"/>
    <w:panose1 w:val="020B070603050204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2D46D" w14:textId="70C66BE7" w:rsidR="00245C82" w:rsidRPr="00A964A0" w:rsidRDefault="5B5CE439" w:rsidP="003A731B">
    <w:pPr>
      <w:tabs>
        <w:tab w:val="center" w:pos="5040"/>
        <w:tab w:val="right" w:pos="9180"/>
      </w:tabs>
      <w:ind w:left="0" w:firstLine="0"/>
      <w:rPr>
        <w:rFonts w:ascii="Arial" w:hAnsi="Arial"/>
        <w:sz w:val="18"/>
        <w:szCs w:val="18"/>
      </w:rPr>
    </w:pPr>
    <w:r w:rsidRPr="7165F96B">
      <w:rPr>
        <w:rFonts w:ascii="Arial" w:eastAsia="Arial" w:hAnsi="Arial" w:cs="Arial"/>
        <w:sz w:val="16"/>
        <w:szCs w:val="16"/>
        <w:lang w:bidi="es-US"/>
      </w:rPr>
      <w:t xml:space="preserve">CONTROLES DE ILUMINACIÓN. WAVELINX (CAT) </w:t>
    </w:r>
    <w:r w:rsidR="3484DDAB">
      <w:rPr>
        <w:lang w:bidi="es-US"/>
      </w:rPr>
      <w:tab/>
    </w:r>
    <w:r>
      <w:rPr>
        <w:rFonts w:ascii="Arial" w:eastAsia="Arial" w:hAnsi="Arial" w:cs="Arial"/>
        <w:sz w:val="18"/>
        <w:szCs w:val="18"/>
        <w:lang w:bidi="es-US"/>
      </w:rPr>
      <w:t xml:space="preserve">26 09 43 - </w:t>
    </w:r>
    <w:r w:rsidR="003A27FA" w:rsidRPr="003A27FA">
      <w:rPr>
        <w:rFonts w:ascii="Arial" w:eastAsia="Arial" w:hAnsi="Arial" w:cs="Arial"/>
        <w:sz w:val="18"/>
        <w:szCs w:val="18"/>
        <w:lang w:bidi="es-US"/>
      </w:rPr>
      <w:fldChar w:fldCharType="begin"/>
    </w:r>
    <w:r w:rsidR="003A27FA" w:rsidRPr="003A27FA">
      <w:rPr>
        <w:rFonts w:ascii="Arial" w:eastAsia="Arial" w:hAnsi="Arial" w:cs="Arial"/>
        <w:sz w:val="18"/>
        <w:szCs w:val="18"/>
        <w:lang w:bidi="es-US"/>
      </w:rPr>
      <w:instrText xml:space="preserve"> PAGE   \* MERGEFORMAT </w:instrText>
    </w:r>
    <w:r w:rsidR="003A27FA" w:rsidRPr="003A27FA">
      <w:rPr>
        <w:rFonts w:ascii="Arial" w:eastAsia="Arial" w:hAnsi="Arial" w:cs="Arial"/>
        <w:sz w:val="18"/>
        <w:szCs w:val="18"/>
        <w:lang w:bidi="es-US"/>
      </w:rPr>
      <w:fldChar w:fldCharType="separate"/>
    </w:r>
    <w:r w:rsidR="003A27FA" w:rsidRPr="003A27FA">
      <w:rPr>
        <w:rFonts w:ascii="Arial" w:eastAsia="Arial" w:hAnsi="Arial" w:cs="Arial"/>
        <w:noProof/>
        <w:sz w:val="18"/>
        <w:szCs w:val="18"/>
        <w:lang w:bidi="es-US"/>
      </w:rPr>
      <w:t>1</w:t>
    </w:r>
    <w:r w:rsidR="003A27FA" w:rsidRPr="003A27FA">
      <w:rPr>
        <w:rFonts w:ascii="Arial" w:eastAsia="Arial" w:hAnsi="Arial" w:cs="Arial"/>
        <w:noProof/>
        <w:sz w:val="18"/>
        <w:szCs w:val="18"/>
        <w:lang w:bidi="es-US"/>
      </w:rPr>
      <w:fldChar w:fldCharType="end"/>
    </w:r>
    <w:r w:rsidR="008E7ECA">
      <w:rPr>
        <w:rFonts w:ascii="Arial" w:eastAsia="Arial" w:hAnsi="Arial" w:cs="Arial"/>
        <w:sz w:val="18"/>
        <w:szCs w:val="18"/>
        <w:lang w:bidi="es-US"/>
      </w:rPr>
      <w:tab/>
    </w:r>
    <w:r w:rsidR="00C15A7D">
      <w:rPr>
        <w:rFonts w:ascii="Arial" w:eastAsia="Arial" w:hAnsi="Arial" w:cs="Arial"/>
        <w:sz w:val="18"/>
        <w:szCs w:val="18"/>
        <w:lang w:bidi="es-US"/>
      </w:rPr>
      <w:t>Marzo</w:t>
    </w:r>
    <w:r w:rsidR="008E7ECA">
      <w:rPr>
        <w:rFonts w:ascii="Arial" w:eastAsia="Arial" w:hAnsi="Arial" w:cs="Arial"/>
        <w:sz w:val="18"/>
        <w:szCs w:val="18"/>
        <w:lang w:bidi="es-US"/>
      </w:rPr>
      <w:t xml:space="preserve"> de </w:t>
    </w:r>
    <w:r w:rsidR="00C15A7D">
      <w:rPr>
        <w:rFonts w:ascii="Arial" w:eastAsia="Arial" w:hAnsi="Arial" w:cs="Arial"/>
        <w:sz w:val="18"/>
        <w:szCs w:val="18"/>
        <w:lang w:bidi="es-US"/>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42254" w14:textId="77777777" w:rsidR="00DD0DEF" w:rsidRDefault="00DD0DEF" w:rsidP="00182FBF">
      <w:r>
        <w:separator/>
      </w:r>
    </w:p>
  </w:footnote>
  <w:footnote w:type="continuationSeparator" w:id="0">
    <w:p w14:paraId="254C9247" w14:textId="77777777" w:rsidR="00DD0DEF" w:rsidRDefault="00DD0DEF" w:rsidP="00182FBF">
      <w:r>
        <w:continuationSeparator/>
      </w:r>
    </w:p>
  </w:footnote>
  <w:footnote w:type="continuationNotice" w:id="1">
    <w:p w14:paraId="2D6397B1" w14:textId="77777777" w:rsidR="00DD0DEF" w:rsidRDefault="00DD0DE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82EFA"/>
    <w:multiLevelType w:val="hybridMultilevel"/>
    <w:tmpl w:val="0E485144"/>
    <w:lvl w:ilvl="0" w:tplc="2022412A">
      <w:start w:val="1"/>
      <w:numFmt w:val="decimal"/>
      <w:lvlText w:val="%1."/>
      <w:lvlJc w:val="left"/>
      <w:pPr>
        <w:ind w:left="2808" w:hanging="360"/>
      </w:pPr>
    </w:lvl>
    <w:lvl w:ilvl="1" w:tplc="46DCE5FE">
      <w:start w:val="1"/>
      <w:numFmt w:val="lowerLetter"/>
      <w:lvlText w:val="%2."/>
      <w:lvlJc w:val="left"/>
      <w:pPr>
        <w:ind w:left="3528" w:hanging="360"/>
      </w:pPr>
    </w:lvl>
    <w:lvl w:ilvl="2" w:tplc="084CBB8E">
      <w:start w:val="1"/>
      <w:numFmt w:val="lowerRoman"/>
      <w:lvlText w:val="%3."/>
      <w:lvlJc w:val="right"/>
      <w:pPr>
        <w:ind w:left="4248" w:hanging="180"/>
      </w:pPr>
    </w:lvl>
    <w:lvl w:ilvl="3" w:tplc="D4267364">
      <w:start w:val="1"/>
      <w:numFmt w:val="decimal"/>
      <w:lvlText w:val="%4."/>
      <w:lvlJc w:val="left"/>
      <w:pPr>
        <w:ind w:left="4968" w:hanging="360"/>
      </w:pPr>
    </w:lvl>
    <w:lvl w:ilvl="4" w:tplc="263C467E">
      <w:start w:val="1"/>
      <w:numFmt w:val="lowerLetter"/>
      <w:lvlText w:val="%5."/>
      <w:lvlJc w:val="left"/>
      <w:pPr>
        <w:ind w:left="5688" w:hanging="360"/>
      </w:pPr>
    </w:lvl>
    <w:lvl w:ilvl="5" w:tplc="B4CA57D0">
      <w:start w:val="1"/>
      <w:numFmt w:val="lowerRoman"/>
      <w:lvlText w:val="%6."/>
      <w:lvlJc w:val="right"/>
      <w:pPr>
        <w:ind w:left="6408" w:hanging="180"/>
      </w:pPr>
    </w:lvl>
    <w:lvl w:ilvl="6" w:tplc="571E8D3A">
      <w:start w:val="1"/>
      <w:numFmt w:val="decimal"/>
      <w:lvlText w:val="%7."/>
      <w:lvlJc w:val="left"/>
      <w:pPr>
        <w:ind w:left="7128" w:hanging="360"/>
      </w:pPr>
    </w:lvl>
    <w:lvl w:ilvl="7" w:tplc="82E275DC">
      <w:start w:val="1"/>
      <w:numFmt w:val="decimal"/>
      <w:lvlText w:val="%8)"/>
      <w:lvlJc w:val="left"/>
      <w:pPr>
        <w:ind w:left="7848" w:hanging="360"/>
      </w:pPr>
    </w:lvl>
    <w:lvl w:ilvl="8" w:tplc="06DA5ADA">
      <w:start w:val="1"/>
      <w:numFmt w:val="lowerRoman"/>
      <w:lvlText w:val="%9."/>
      <w:lvlJc w:val="right"/>
      <w:pPr>
        <w:ind w:left="8568" w:hanging="180"/>
      </w:pPr>
    </w:lvl>
  </w:abstractNum>
  <w:abstractNum w:abstractNumId="1" w15:restartNumberingAfterBreak="0">
    <w:nsid w:val="18E0CA26"/>
    <w:multiLevelType w:val="multilevel"/>
    <w:tmpl w:val="0DC8F436"/>
    <w:lvl w:ilvl="0">
      <w:start w:val="1"/>
      <w:numFmt w:val="upperLetter"/>
      <w:pStyle w:val="PR1"/>
      <w:lvlText w:val="%1."/>
      <w:lvlJc w:val="left"/>
      <w:pPr>
        <w:tabs>
          <w:tab w:val="num" w:pos="360"/>
        </w:tabs>
      </w:pPr>
      <w:rPr>
        <w:b w:val="0"/>
        <w:bCs w:val="0"/>
        <w:sz w:val="20"/>
        <w:szCs w:val="20"/>
      </w:rPr>
    </w:lvl>
    <w:lvl w:ilvl="1">
      <w:start w:val="1"/>
      <w:numFmt w:val="decimal"/>
      <w:lvlText w:val="%2."/>
      <w:lvlJc w:val="left"/>
      <w:pPr>
        <w:ind w:left="-11016" w:hanging="360"/>
      </w:pPr>
    </w:lvl>
    <w:lvl w:ilvl="2">
      <w:start w:val="1"/>
      <w:numFmt w:val="lowerLetter"/>
      <w:lvlText w:val="%3."/>
      <w:lvlJc w:val="left"/>
      <w:pPr>
        <w:ind w:left="-10296" w:hanging="180"/>
      </w:pPr>
    </w:lvl>
    <w:lvl w:ilvl="3">
      <w:start w:val="1"/>
      <w:numFmt w:val="decimal"/>
      <w:lvlText w:val="%1.%2.%3.%4."/>
      <w:lvlJc w:val="left"/>
      <w:pPr>
        <w:ind w:left="-9576" w:hanging="360"/>
      </w:pPr>
    </w:lvl>
    <w:lvl w:ilvl="4">
      <w:start w:val="1"/>
      <w:numFmt w:val="upperLetter"/>
      <w:lvlText w:val="%5."/>
      <w:lvlJc w:val="left"/>
      <w:pPr>
        <w:ind w:left="-8856" w:hanging="360"/>
      </w:pPr>
    </w:lvl>
    <w:lvl w:ilvl="5">
      <w:start w:val="1"/>
      <w:numFmt w:val="decimal"/>
      <w:lvlText w:val="%1.%2.%3.%4.%5.%6."/>
      <w:lvlJc w:val="left"/>
      <w:pPr>
        <w:ind w:left="-8136" w:hanging="180"/>
      </w:pPr>
    </w:lvl>
    <w:lvl w:ilvl="6">
      <w:start w:val="1"/>
      <w:numFmt w:val="decimal"/>
      <w:lvlText w:val="%1.%2.%3.%4.%5.%6.%7."/>
      <w:lvlJc w:val="left"/>
      <w:pPr>
        <w:ind w:left="-7416" w:hanging="360"/>
      </w:pPr>
    </w:lvl>
    <w:lvl w:ilvl="7">
      <w:start w:val="1"/>
      <w:numFmt w:val="decimal"/>
      <w:lvlText w:val="%1.%2.%3.%4.%5.%6.%7.%8."/>
      <w:lvlJc w:val="left"/>
      <w:pPr>
        <w:ind w:left="-6696" w:hanging="360"/>
      </w:pPr>
    </w:lvl>
    <w:lvl w:ilvl="8">
      <w:start w:val="1"/>
      <w:numFmt w:val="decimal"/>
      <w:lvlText w:val="%1.%2.%3.%4.%5.%6.%7.%8.%9."/>
      <w:lvlJc w:val="left"/>
      <w:pPr>
        <w:ind w:left="-5976" w:hanging="180"/>
      </w:pPr>
    </w:lvl>
  </w:abstractNum>
  <w:abstractNum w:abstractNumId="2" w15:restartNumberingAfterBreak="0">
    <w:nsid w:val="1B3C7C76"/>
    <w:multiLevelType w:val="multilevel"/>
    <w:tmpl w:val="22986B26"/>
    <w:lvl w:ilvl="0">
      <w:start w:val="1"/>
      <w:numFmt w:val="decimal"/>
      <w:suff w:val="nothing"/>
      <w:lvlText w:val="PARTE: %1 "/>
      <w:lvlJc w:val="left"/>
      <w:pPr>
        <w:ind w:left="0" w:firstLine="0"/>
      </w:pPr>
      <w:rPr>
        <w:rFonts w:ascii="Arial" w:hAnsi="Arial" w:cs="Arial" w:hint="default"/>
        <w:b w:val="0"/>
        <w:i w:val="0"/>
        <w:sz w:val="22"/>
        <w:szCs w:val="22"/>
      </w:rPr>
    </w:lvl>
    <w:lvl w:ilvl="1">
      <w:start w:val="1"/>
      <w:numFmt w:val="decimal"/>
      <w:pStyle w:val="Level2"/>
      <w:lvlText w:val="%1.%2"/>
      <w:lvlJc w:val="left"/>
      <w:pPr>
        <w:tabs>
          <w:tab w:val="num" w:pos="648"/>
        </w:tabs>
        <w:ind w:left="648" w:hanging="648"/>
      </w:pPr>
      <w:rPr>
        <w:rFonts w:ascii="Times New Roman" w:hAnsi="Times New Roman" w:cs="Times New Roman" w:hint="default"/>
        <w:b w:val="0"/>
        <w:i w:val="0"/>
        <w:color w:val="auto"/>
        <w:sz w:val="22"/>
        <w:szCs w:val="22"/>
      </w:rPr>
    </w:lvl>
    <w:lvl w:ilvl="2">
      <w:start w:val="1"/>
      <w:numFmt w:val="upperLetter"/>
      <w:lvlText w:val="%3."/>
      <w:lvlJc w:val="left"/>
      <w:pPr>
        <w:tabs>
          <w:tab w:val="num" w:pos="1080"/>
        </w:tabs>
        <w:ind w:left="1080" w:hanging="360"/>
      </w:pPr>
      <w:rPr>
        <w:rFonts w:ascii="Times New Roman" w:hAnsi="Times New Roman" w:hint="default"/>
        <w:b w:val="0"/>
        <w:i w:val="0"/>
        <w:sz w:val="24"/>
        <w:szCs w:val="24"/>
      </w:rPr>
    </w:lvl>
    <w:lvl w:ilvl="3">
      <w:start w:val="1"/>
      <w:numFmt w:val="decimal"/>
      <w:lvlText w:val="%4."/>
      <w:lvlJc w:val="left"/>
      <w:pPr>
        <w:tabs>
          <w:tab w:val="num" w:pos="1800"/>
        </w:tabs>
        <w:ind w:left="1800" w:hanging="360"/>
      </w:pPr>
      <w:rPr>
        <w:rFonts w:ascii="Times New Roman" w:hAnsi="Times New Roman" w:hint="default"/>
        <w:b w:val="0"/>
        <w:i w:val="0"/>
        <w:sz w:val="24"/>
        <w:szCs w:val="24"/>
      </w:rPr>
    </w:lvl>
    <w:lvl w:ilvl="4">
      <w:start w:val="1"/>
      <w:numFmt w:val="lowerLetter"/>
      <w:lvlText w:val="%5."/>
      <w:lvlJc w:val="left"/>
      <w:pPr>
        <w:tabs>
          <w:tab w:val="num" w:pos="2880"/>
        </w:tabs>
        <w:ind w:left="2880" w:hanging="720"/>
      </w:pPr>
      <w:rPr>
        <w:rFonts w:ascii="Arial" w:hAnsi="Arial" w:cs="Arial" w:hint="default"/>
        <w:b w:val="0"/>
        <w:i w:val="0"/>
        <w:sz w:val="22"/>
      </w:rPr>
    </w:lvl>
    <w:lvl w:ilvl="5">
      <w:start w:val="1"/>
      <w:numFmt w:val="upperLetter"/>
      <w:suff w:val="nothing"/>
      <w:lvlText w:val="Anexo %6"/>
      <w:lvlJc w:val="left"/>
      <w:pPr>
        <w:ind w:left="0" w:firstLine="0"/>
      </w:pPr>
      <w:rPr>
        <w:rFonts w:ascii="Arial" w:hAnsi="Arial" w:cs="Wingdings" w:hint="default"/>
        <w:b/>
        <w:i w:val="0"/>
        <w:sz w:val="32"/>
        <w:szCs w:val="32"/>
      </w:rPr>
    </w:lvl>
    <w:lvl w:ilvl="6">
      <w:start w:val="1"/>
      <w:numFmt w:val="decimal"/>
      <w:lvlText w:val="%6.%7"/>
      <w:lvlJc w:val="left"/>
      <w:pPr>
        <w:tabs>
          <w:tab w:val="num" w:pos="648"/>
        </w:tabs>
        <w:ind w:left="648" w:hanging="648"/>
      </w:pPr>
      <w:rPr>
        <w:rFonts w:ascii="Avenir LT Std 65 Medium" w:hAnsi="Avenir LT Std 65 Medium" w:hint="default"/>
        <w:b/>
        <w:i w:val="0"/>
        <w:sz w:val="28"/>
        <w:szCs w:val="28"/>
      </w:rPr>
    </w:lvl>
    <w:lvl w:ilvl="7">
      <w:start w:val="1"/>
      <w:numFmt w:val="decimal"/>
      <w:lvlText w:val="%6.%7.%8"/>
      <w:lvlJc w:val="left"/>
      <w:pPr>
        <w:tabs>
          <w:tab w:val="num" w:pos="936"/>
        </w:tabs>
        <w:ind w:left="936" w:hanging="936"/>
      </w:pPr>
      <w:rPr>
        <w:rFonts w:ascii="Times New Roman" w:hAnsi="Times New Roman" w:cs="Times New Roman" w:hint="default"/>
        <w:b w:val="0"/>
        <w:bCs w:val="0"/>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6.%7.%8.%9"/>
      <w:lvlJc w:val="left"/>
      <w:pPr>
        <w:tabs>
          <w:tab w:val="num" w:pos="1037"/>
        </w:tabs>
        <w:ind w:left="1037" w:hanging="1037"/>
      </w:pPr>
      <w:rPr>
        <w:rFonts w:ascii="Arial" w:hAnsi="Arial" w:cs="Wingdings" w:hint="default"/>
        <w:b/>
        <w:i w:val="0"/>
        <w:sz w:val="22"/>
        <w:szCs w:val="22"/>
      </w:rPr>
    </w:lvl>
  </w:abstractNum>
  <w:abstractNum w:abstractNumId="3" w15:restartNumberingAfterBreak="0">
    <w:nsid w:val="1C857925"/>
    <w:multiLevelType w:val="multilevel"/>
    <w:tmpl w:val="FFFFFFFF"/>
    <w:lvl w:ilvl="0">
      <w:numFmt w:val="none"/>
      <w:pStyle w:val="ART"/>
      <w:lvlText w:val=""/>
      <w:lvlJc w:val="left"/>
      <w:pPr>
        <w:tabs>
          <w:tab w:val="num" w:pos="360"/>
        </w:tabs>
      </w:p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4" w15:restartNumberingAfterBreak="0">
    <w:nsid w:val="30A2058E"/>
    <w:multiLevelType w:val="multilevel"/>
    <w:tmpl w:val="B4EA15C0"/>
    <w:lvl w:ilvl="0">
      <w:start w:val="1"/>
      <w:numFmt w:val="decimal"/>
      <w:pStyle w:val="PRT"/>
      <w:suff w:val="nothing"/>
      <w:lvlText w:val="PARTE %1:"/>
      <w:lvlJc w:val="left"/>
      <w:pPr>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upperLetter"/>
      <w:pStyle w:val="ListParagraph"/>
      <w:lvlText w:val="%3."/>
      <w:lvlJc w:val="left"/>
      <w:pPr>
        <w:ind w:left="1080" w:hanging="360"/>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5" w15:restartNumberingAfterBreak="0">
    <w:nsid w:val="34205C92"/>
    <w:multiLevelType w:val="multilevel"/>
    <w:tmpl w:val="F4BC643C"/>
    <w:lvl w:ilvl="0">
      <w:start w:val="1"/>
      <w:numFmt w:val="decimal"/>
      <w:suff w:val="nothing"/>
      <w:lvlText w:val="PARTE: %1"/>
      <w:lvlJc w:val="left"/>
      <w:pPr>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pStyle w:val="PR3"/>
      <w:lvlText w:val="%5."/>
      <w:lvlJc w:val="left"/>
      <w:pPr>
        <w:tabs>
          <w:tab w:val="num" w:pos="2016"/>
        </w:tabs>
        <w:ind w:left="2016" w:hanging="432"/>
      </w:pPr>
      <w:rPr>
        <w:b w:val="0"/>
        <w:bCs/>
      </w:r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6" w15:restartNumberingAfterBreak="0">
    <w:nsid w:val="3D0E753B"/>
    <w:multiLevelType w:val="multilevel"/>
    <w:tmpl w:val="2AE85728"/>
    <w:lvl w:ilvl="0">
      <w:start w:val="1"/>
      <w:numFmt w:val="decimal"/>
      <w:suff w:val="nothing"/>
      <w:lvlText w:val="PARTE: %1 "/>
      <w:lvlJc w:val="left"/>
      <w:pPr>
        <w:ind w:left="0" w:firstLine="0"/>
      </w:pPr>
      <w:rPr>
        <w:rFonts w:hint="default"/>
      </w:rPr>
    </w:lvl>
    <w:lvl w:ilvl="1">
      <w:numFmt w:val="decimal"/>
      <w:pStyle w:val="SUT"/>
      <w:suff w:val="nothing"/>
      <w:lvlText w:val="APÉNDICE %2. "/>
      <w:lvlJc w:val="left"/>
      <w:pPr>
        <w:ind w:left="0" w:firstLine="0"/>
      </w:pPr>
      <w:rPr>
        <w:rFonts w:hint="default"/>
      </w:rPr>
    </w:lvl>
    <w:lvl w:ilvl="2">
      <w:numFmt w:val="none"/>
      <w:pStyle w:val="DST"/>
      <w:lvlText w:val=""/>
      <w:lvlJc w:val="left"/>
      <w:pPr>
        <w:tabs>
          <w:tab w:val="num" w:pos="360"/>
        </w:tabs>
        <w:ind w:left="0" w:firstLine="0"/>
      </w:pPr>
      <w:rPr>
        <w:rFonts w:hint="default"/>
      </w:rPr>
    </w:lvl>
    <w:lvl w:ilvl="3">
      <w:start w:val="1"/>
      <w:numFmt w:val="decimal"/>
      <w:lvlText w:val="%1.%4"/>
      <w:lvlJc w:val="left"/>
      <w:pPr>
        <w:tabs>
          <w:tab w:val="num" w:pos="864"/>
        </w:tabs>
        <w:ind w:left="864" w:hanging="864"/>
      </w:pPr>
      <w:rPr>
        <w:rFonts w:hint="default"/>
        <w:b w:val="0"/>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1440"/>
        </w:tabs>
        <w:ind w:left="1440" w:hanging="576"/>
      </w:pPr>
      <w:rPr>
        <w:rFonts w:hint="default"/>
      </w:rPr>
    </w:lvl>
    <w:lvl w:ilvl="6">
      <w:start w:val="1"/>
      <w:numFmt w:val="lowerLetter"/>
      <w:lvlText w:val="%7."/>
      <w:lvlJc w:val="left"/>
      <w:pPr>
        <w:tabs>
          <w:tab w:val="num" w:pos="2286"/>
        </w:tabs>
        <w:ind w:left="2016" w:hanging="432"/>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7" w15:restartNumberingAfterBreak="0">
    <w:nsid w:val="3F2B184C"/>
    <w:multiLevelType w:val="multilevel"/>
    <w:tmpl w:val="FC863A8E"/>
    <w:lvl w:ilvl="0">
      <w:start w:val="1"/>
      <w:numFmt w:val="decimal"/>
      <w:pStyle w:val="Level1"/>
      <w:suff w:val="nothing"/>
      <w:lvlText w:val="PARTE: %1"/>
      <w:lvlJc w:val="left"/>
      <w:pPr>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upperLetter"/>
      <w:lvlText w:val="%3."/>
      <w:lvlJc w:val="left"/>
      <w:pPr>
        <w:tabs>
          <w:tab w:val="num" w:pos="3582"/>
        </w:tabs>
        <w:ind w:left="3582" w:hanging="432"/>
      </w:pPr>
      <w:rPr>
        <w:rFonts w:hint="default"/>
      </w:rPr>
    </w:lvl>
    <w:lvl w:ilvl="3">
      <w:start w:val="1"/>
      <w:numFmt w:val="decimal"/>
      <w:pStyle w:val="Level3"/>
      <w:lvlText w:val="%4."/>
      <w:lvlJc w:val="left"/>
      <w:pPr>
        <w:tabs>
          <w:tab w:val="num" w:pos="1584"/>
        </w:tabs>
        <w:ind w:left="1584" w:hanging="432"/>
      </w:pPr>
      <w:rPr>
        <w:rFonts w:hint="default"/>
      </w:rPr>
    </w:lvl>
    <w:lvl w:ilvl="4">
      <w:start w:val="1"/>
      <w:numFmt w:val="lowerLetter"/>
      <w:pStyle w:val="Level6"/>
      <w:lvlText w:val="%5."/>
      <w:lvlJc w:val="left"/>
      <w:pPr>
        <w:tabs>
          <w:tab w:val="num" w:pos="2016"/>
        </w:tabs>
        <w:ind w:left="2016" w:hanging="432"/>
      </w:pPr>
      <w:rPr>
        <w:rFonts w:hint="default"/>
        <w:b w:val="0"/>
        <w:i w:val="0"/>
      </w:rPr>
    </w:lvl>
    <w:lvl w:ilvl="5">
      <w:start w:val="1"/>
      <w:numFmt w:val="decimal"/>
      <w:lvlText w:val="%6."/>
      <w:lvlJc w:val="left"/>
      <w:pPr>
        <w:tabs>
          <w:tab w:val="num" w:pos="2448"/>
        </w:tabs>
        <w:ind w:left="2448" w:hanging="432"/>
      </w:pPr>
      <w:rPr>
        <w:rFonts w:asciiTheme="minorHAnsi" w:eastAsia="Times New Roman" w:hAnsiTheme="minorHAnsi" w:cs="Times New Roman" w:hint="default"/>
        <w:b w:val="0"/>
        <w:i w:val="0"/>
      </w:rPr>
    </w:lvl>
    <w:lvl w:ilvl="6">
      <w:start w:val="1"/>
      <w:numFmt w:val="lowerLetter"/>
      <w:lvlText w:val="%7)"/>
      <w:lvlJc w:val="left"/>
      <w:pPr>
        <w:tabs>
          <w:tab w:val="num" w:pos="2520"/>
        </w:tabs>
        <w:ind w:left="2520" w:hanging="360"/>
      </w:pPr>
      <w:rPr>
        <w:rFonts w:hint="default"/>
      </w:rPr>
    </w:lvl>
    <w:lvl w:ilvl="7">
      <w:start w:val="1"/>
      <w:numFmt w:val="none"/>
      <w:pStyle w:val="Level8"/>
      <w:lvlText w:val="%8."/>
      <w:lvlJc w:val="left"/>
      <w:pPr>
        <w:tabs>
          <w:tab w:val="num" w:pos="2880"/>
        </w:tabs>
        <w:ind w:left="2880" w:hanging="360"/>
      </w:pPr>
      <w:rPr>
        <w:rFonts w:hint="default"/>
      </w:rPr>
    </w:lvl>
    <w:lvl w:ilvl="8">
      <w:start w:val="1"/>
      <w:numFmt w:val="none"/>
      <w:pStyle w:val="Level9"/>
      <w:lvlText w:val="%9."/>
      <w:lvlJc w:val="left"/>
      <w:pPr>
        <w:tabs>
          <w:tab w:val="num" w:pos="3240"/>
        </w:tabs>
        <w:ind w:left="3240" w:hanging="360"/>
      </w:pPr>
      <w:rPr>
        <w:rFonts w:hint="default"/>
      </w:rPr>
    </w:lvl>
  </w:abstractNum>
  <w:abstractNum w:abstractNumId="8" w15:restartNumberingAfterBreak="0">
    <w:nsid w:val="42D05B0C"/>
    <w:multiLevelType w:val="multilevel"/>
    <w:tmpl w:val="0409001D"/>
    <w:styleLink w:val="CSIStyle"/>
    <w:lvl w:ilvl="0">
      <w:start w:val="1"/>
      <w:numFmt w:val="decimal"/>
      <w:lvlText w:val="%1"/>
      <w:lvlJc w:val="left"/>
      <w:pPr>
        <w:ind w:left="360" w:hanging="360"/>
      </w:pPr>
      <w:rPr>
        <w:rFonts w:ascii="Arial" w:hAnsi="Arial" w:hint="default"/>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50A57D5"/>
    <w:multiLevelType w:val="hybridMultilevel"/>
    <w:tmpl w:val="C45472D2"/>
    <w:lvl w:ilvl="0" w:tplc="859C2F38">
      <w:start w:val="1"/>
      <w:numFmt w:val="decimal"/>
      <w:lvlText w:val="%1."/>
      <w:lvlJc w:val="left"/>
      <w:pPr>
        <w:ind w:left="1638" w:hanging="360"/>
      </w:pPr>
    </w:lvl>
    <w:lvl w:ilvl="1" w:tplc="01267510">
      <w:start w:val="1"/>
      <w:numFmt w:val="lowerLetter"/>
      <w:lvlText w:val="%2."/>
      <w:lvlJc w:val="left"/>
      <w:pPr>
        <w:ind w:left="2358" w:hanging="360"/>
      </w:pPr>
    </w:lvl>
    <w:lvl w:ilvl="2" w:tplc="40A43B78">
      <w:start w:val="1"/>
      <w:numFmt w:val="lowerRoman"/>
      <w:lvlText w:val="%3."/>
      <w:lvlJc w:val="right"/>
      <w:pPr>
        <w:ind w:left="3078" w:hanging="180"/>
      </w:pPr>
    </w:lvl>
    <w:lvl w:ilvl="3" w:tplc="CBBA3E48">
      <w:start w:val="1"/>
      <w:numFmt w:val="decimal"/>
      <w:lvlText w:val="%4."/>
      <w:lvlJc w:val="left"/>
      <w:pPr>
        <w:ind w:left="3798" w:hanging="360"/>
      </w:pPr>
    </w:lvl>
    <w:lvl w:ilvl="4" w:tplc="B2BE9AE6">
      <w:start w:val="1"/>
      <w:numFmt w:val="lowerLetter"/>
      <w:lvlText w:val="%5."/>
      <w:lvlJc w:val="left"/>
      <w:pPr>
        <w:ind w:left="4518" w:hanging="360"/>
      </w:pPr>
    </w:lvl>
    <w:lvl w:ilvl="5" w:tplc="FB021D7A">
      <w:start w:val="1"/>
      <w:numFmt w:val="lowerRoman"/>
      <w:lvlText w:val="%6."/>
      <w:lvlJc w:val="right"/>
      <w:pPr>
        <w:ind w:left="5238" w:hanging="180"/>
      </w:pPr>
    </w:lvl>
    <w:lvl w:ilvl="6" w:tplc="41303096">
      <w:start w:val="1"/>
      <w:numFmt w:val="decimal"/>
      <w:lvlText w:val="%7."/>
      <w:lvlJc w:val="left"/>
      <w:pPr>
        <w:ind w:left="5958" w:hanging="360"/>
      </w:pPr>
    </w:lvl>
    <w:lvl w:ilvl="7" w:tplc="62C46F90">
      <w:start w:val="1"/>
      <w:numFmt w:val="lowerLetter"/>
      <w:lvlText w:val="%8."/>
      <w:lvlJc w:val="left"/>
      <w:pPr>
        <w:ind w:left="6678" w:hanging="360"/>
      </w:pPr>
    </w:lvl>
    <w:lvl w:ilvl="8" w:tplc="69208490">
      <w:start w:val="1"/>
      <w:numFmt w:val="lowerRoman"/>
      <w:lvlText w:val="%9."/>
      <w:lvlJc w:val="right"/>
      <w:pPr>
        <w:ind w:left="7398" w:hanging="180"/>
      </w:pPr>
    </w:lvl>
  </w:abstractNum>
  <w:abstractNum w:abstractNumId="10" w15:restartNumberingAfterBreak="0">
    <w:nsid w:val="479565C8"/>
    <w:multiLevelType w:val="multilevel"/>
    <w:tmpl w:val="B1CC4D6C"/>
    <w:lvl w:ilvl="0">
      <w:start w:val="1"/>
      <w:numFmt w:val="decimal"/>
      <w:pStyle w:val="Heading5"/>
      <w:suff w:val="nothing"/>
      <w:lvlText w:val="PARTE: %1"/>
      <w:lvlJc w:val="left"/>
      <w:pPr>
        <w:ind w:left="720" w:hanging="720"/>
      </w:pPr>
      <w:rPr>
        <w:rFonts w:hint="default"/>
        <w:i w:val="0"/>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11" w15:restartNumberingAfterBreak="0">
    <w:nsid w:val="68620DB8"/>
    <w:multiLevelType w:val="hybridMultilevel"/>
    <w:tmpl w:val="E5489860"/>
    <w:lvl w:ilvl="0" w:tplc="194E3FC0">
      <w:start w:val="1"/>
      <w:numFmt w:val="decimal"/>
      <w:pStyle w:val="PR2"/>
      <w:lvlText w:val="%1."/>
      <w:lvlJc w:val="left"/>
      <w:pPr>
        <w:tabs>
          <w:tab w:val="num" w:pos="6264"/>
        </w:tabs>
      </w:pPr>
      <w:rPr>
        <w:sz w:val="20"/>
        <w:szCs w:val="20"/>
      </w:rPr>
    </w:lvl>
    <w:lvl w:ilvl="1" w:tplc="E7A40CC0">
      <w:start w:val="1"/>
      <w:numFmt w:val="lowerLetter"/>
      <w:lvlText w:val="%2."/>
      <w:lvlJc w:val="left"/>
      <w:pPr>
        <w:ind w:left="1242" w:hanging="360"/>
      </w:pPr>
    </w:lvl>
    <w:lvl w:ilvl="2" w:tplc="80A6D3CA">
      <w:start w:val="1"/>
      <w:numFmt w:val="lowerRoman"/>
      <w:lvlText w:val="%3."/>
      <w:lvlJc w:val="right"/>
      <w:pPr>
        <w:ind w:left="1962" w:hanging="180"/>
      </w:pPr>
    </w:lvl>
    <w:lvl w:ilvl="3" w:tplc="62801D7C">
      <w:start w:val="1"/>
      <w:numFmt w:val="decimal"/>
      <w:lvlText w:val="%4."/>
      <w:lvlJc w:val="left"/>
      <w:pPr>
        <w:ind w:left="2682" w:hanging="360"/>
      </w:pPr>
    </w:lvl>
    <w:lvl w:ilvl="4" w:tplc="83222478">
      <w:start w:val="1"/>
      <w:numFmt w:val="lowerLetter"/>
      <w:lvlText w:val="%5."/>
      <w:lvlJc w:val="left"/>
      <w:pPr>
        <w:ind w:left="3402" w:hanging="360"/>
      </w:pPr>
    </w:lvl>
    <w:lvl w:ilvl="5" w:tplc="5D6ECD94">
      <w:start w:val="1"/>
      <w:numFmt w:val="lowerRoman"/>
      <w:lvlText w:val="%6."/>
      <w:lvlJc w:val="right"/>
      <w:pPr>
        <w:ind w:left="4122" w:hanging="180"/>
      </w:pPr>
    </w:lvl>
    <w:lvl w:ilvl="6" w:tplc="379CA3B8">
      <w:start w:val="1"/>
      <w:numFmt w:val="decimal"/>
      <w:lvlText w:val="%7."/>
      <w:lvlJc w:val="left"/>
      <w:pPr>
        <w:ind w:left="4842" w:hanging="360"/>
      </w:pPr>
    </w:lvl>
    <w:lvl w:ilvl="7" w:tplc="74D20BBA">
      <w:start w:val="1"/>
      <w:numFmt w:val="lowerLetter"/>
      <w:lvlText w:val="%8."/>
      <w:lvlJc w:val="left"/>
      <w:pPr>
        <w:ind w:left="5562" w:hanging="360"/>
      </w:pPr>
    </w:lvl>
    <w:lvl w:ilvl="8" w:tplc="5C4089BE">
      <w:start w:val="1"/>
      <w:numFmt w:val="lowerRoman"/>
      <w:lvlText w:val="%9."/>
      <w:lvlJc w:val="right"/>
      <w:pPr>
        <w:ind w:left="6282" w:hanging="180"/>
      </w:pPr>
    </w:lvl>
  </w:abstractNum>
  <w:abstractNum w:abstractNumId="12" w15:restartNumberingAfterBreak="0">
    <w:nsid w:val="71506894"/>
    <w:multiLevelType w:val="hybridMultilevel"/>
    <w:tmpl w:val="74FC41C8"/>
    <w:lvl w:ilvl="0" w:tplc="27BCDF20">
      <w:start w:val="1"/>
      <w:numFmt w:val="decimal"/>
      <w:lvlText w:val="%1."/>
      <w:lvlJc w:val="left"/>
      <w:pPr>
        <w:ind w:left="1638" w:hanging="360"/>
      </w:pPr>
    </w:lvl>
    <w:lvl w:ilvl="1" w:tplc="784A4E8E">
      <w:start w:val="1"/>
      <w:numFmt w:val="lowerLetter"/>
      <w:lvlText w:val="%2."/>
      <w:lvlJc w:val="left"/>
      <w:pPr>
        <w:ind w:left="2358" w:hanging="360"/>
      </w:pPr>
    </w:lvl>
    <w:lvl w:ilvl="2" w:tplc="1BD2996C">
      <w:start w:val="1"/>
      <w:numFmt w:val="lowerRoman"/>
      <w:lvlText w:val="%3."/>
      <w:lvlJc w:val="right"/>
      <w:pPr>
        <w:ind w:left="3078" w:hanging="180"/>
      </w:pPr>
    </w:lvl>
    <w:lvl w:ilvl="3" w:tplc="59A6BF98">
      <w:start w:val="1"/>
      <w:numFmt w:val="decimal"/>
      <w:lvlText w:val="%4."/>
      <w:lvlJc w:val="left"/>
      <w:pPr>
        <w:ind w:left="3798" w:hanging="360"/>
      </w:pPr>
    </w:lvl>
    <w:lvl w:ilvl="4" w:tplc="E2D0F68A">
      <w:start w:val="1"/>
      <w:numFmt w:val="lowerLetter"/>
      <w:lvlText w:val="%5."/>
      <w:lvlJc w:val="left"/>
      <w:pPr>
        <w:ind w:left="4518" w:hanging="360"/>
      </w:pPr>
    </w:lvl>
    <w:lvl w:ilvl="5" w:tplc="AF78FA82">
      <w:start w:val="1"/>
      <w:numFmt w:val="lowerRoman"/>
      <w:lvlText w:val="%6."/>
      <w:lvlJc w:val="right"/>
      <w:pPr>
        <w:ind w:left="5238" w:hanging="180"/>
      </w:pPr>
    </w:lvl>
    <w:lvl w:ilvl="6" w:tplc="D2CEB8A0">
      <w:start w:val="1"/>
      <w:numFmt w:val="decimal"/>
      <w:lvlText w:val="%7."/>
      <w:lvlJc w:val="left"/>
      <w:pPr>
        <w:ind w:left="5958" w:hanging="360"/>
      </w:pPr>
    </w:lvl>
    <w:lvl w:ilvl="7" w:tplc="8854858A">
      <w:start w:val="1"/>
      <w:numFmt w:val="lowerLetter"/>
      <w:lvlText w:val="%8."/>
      <w:lvlJc w:val="left"/>
      <w:pPr>
        <w:ind w:left="6678" w:hanging="360"/>
      </w:pPr>
    </w:lvl>
    <w:lvl w:ilvl="8" w:tplc="83A61FAA">
      <w:start w:val="1"/>
      <w:numFmt w:val="lowerRoman"/>
      <w:lvlText w:val="%9."/>
      <w:lvlJc w:val="right"/>
      <w:pPr>
        <w:ind w:left="7398" w:hanging="180"/>
      </w:pPr>
    </w:lvl>
  </w:abstractNum>
  <w:num w:numId="1" w16cid:durableId="1729302254">
    <w:abstractNumId w:val="10"/>
  </w:num>
  <w:num w:numId="2" w16cid:durableId="869299539">
    <w:abstractNumId w:val="6"/>
  </w:num>
  <w:num w:numId="3" w16cid:durableId="264465822">
    <w:abstractNumId w:val="7"/>
  </w:num>
  <w:num w:numId="4" w16cid:durableId="58721383">
    <w:abstractNumId w:val="8"/>
  </w:num>
  <w:num w:numId="5" w16cid:durableId="853497640">
    <w:abstractNumId w:val="2"/>
  </w:num>
  <w:num w:numId="6" w16cid:durableId="418865060">
    <w:abstractNumId w:val="5"/>
  </w:num>
  <w:num w:numId="7" w16cid:durableId="87584132">
    <w:abstractNumId w:val="4"/>
  </w:num>
  <w:num w:numId="8" w16cid:durableId="590695928">
    <w:abstractNumId w:val="11"/>
  </w:num>
  <w:num w:numId="9" w16cid:durableId="454062947">
    <w:abstractNumId w:val="3"/>
  </w:num>
  <w:num w:numId="10" w16cid:durableId="1123227341">
    <w:abstractNumId w:val="1"/>
  </w:num>
  <w:num w:numId="11" w16cid:durableId="1295913846">
    <w:abstractNumId w:val="11"/>
    <w:lvlOverride w:ilvl="0">
      <w:startOverride w:val="1"/>
    </w:lvlOverride>
  </w:num>
  <w:num w:numId="12" w16cid:durableId="16475123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870902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0023677">
    <w:abstractNumId w:val="11"/>
    <w:lvlOverride w:ilvl="0">
      <w:startOverride w:val="1"/>
    </w:lvlOverride>
  </w:num>
  <w:num w:numId="15" w16cid:durableId="18658987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75458265">
    <w:abstractNumId w:val="11"/>
    <w:lvlOverride w:ilvl="0">
      <w:startOverride w:val="1"/>
    </w:lvlOverride>
  </w:num>
  <w:num w:numId="17" w16cid:durableId="375860972">
    <w:abstractNumId w:val="11"/>
    <w:lvlOverride w:ilvl="0">
      <w:startOverride w:val="1"/>
    </w:lvlOverride>
  </w:num>
  <w:num w:numId="18" w16cid:durableId="14314663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104459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106602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0998546">
    <w:abstractNumId w:val="11"/>
    <w:lvlOverride w:ilvl="0">
      <w:startOverride w:val="1"/>
    </w:lvlOverride>
  </w:num>
  <w:num w:numId="22" w16cid:durableId="12389986">
    <w:abstractNumId w:val="11"/>
    <w:lvlOverride w:ilvl="0">
      <w:startOverride w:val="1"/>
    </w:lvlOverride>
  </w:num>
  <w:num w:numId="23" w16cid:durableId="11236977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06243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61951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73966206">
    <w:abstractNumId w:val="11"/>
    <w:lvlOverride w:ilvl="0">
      <w:startOverride w:val="1"/>
    </w:lvlOverride>
  </w:num>
  <w:num w:numId="27" w16cid:durableId="12191222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87487822">
    <w:abstractNumId w:val="11"/>
    <w:lvlOverride w:ilvl="0">
      <w:startOverride w:val="1"/>
    </w:lvlOverride>
  </w:num>
  <w:num w:numId="29" w16cid:durableId="13152562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539111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85326671">
    <w:abstractNumId w:val="11"/>
    <w:lvlOverride w:ilvl="0">
      <w:startOverride w:val="1"/>
    </w:lvlOverride>
  </w:num>
  <w:num w:numId="32" w16cid:durableId="20506433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559331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15870245">
    <w:abstractNumId w:val="11"/>
    <w:lvlOverride w:ilvl="0">
      <w:startOverride w:val="1"/>
    </w:lvlOverride>
  </w:num>
  <w:num w:numId="35" w16cid:durableId="4871354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19588769">
    <w:abstractNumId w:val="11"/>
    <w:lvlOverride w:ilvl="0">
      <w:startOverride w:val="1"/>
    </w:lvlOverride>
  </w:num>
  <w:num w:numId="37" w16cid:durableId="13874902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946646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4710279">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851148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6224581">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97127784">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21964244">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4928395">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592141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084406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95374306">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348832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06632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12534595">
    <w:abstractNumId w:val="11"/>
    <w:lvlOverride w:ilvl="0">
      <w:startOverride w:val="1"/>
    </w:lvlOverride>
  </w:num>
  <w:num w:numId="51" w16cid:durableId="1616324471">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11644356">
    <w:abstractNumId w:val="11"/>
    <w:lvlOverride w:ilvl="0">
      <w:startOverride w:val="1"/>
    </w:lvlOverride>
  </w:num>
  <w:num w:numId="53" w16cid:durableId="7083814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9421470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19405066">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24055658">
    <w:abstractNumId w:val="11"/>
    <w:lvlOverride w:ilvl="0">
      <w:startOverride w:val="1"/>
    </w:lvlOverride>
  </w:num>
  <w:num w:numId="57" w16cid:durableId="1526139533">
    <w:abstractNumId w:val="11"/>
    <w:lvlOverride w:ilvl="0">
      <w:startOverride w:val="1"/>
    </w:lvlOverride>
  </w:num>
  <w:num w:numId="58" w16cid:durableId="632575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14310372">
    <w:abstractNumId w:val="11"/>
    <w:lvlOverride w:ilvl="0">
      <w:startOverride w:val="1"/>
    </w:lvlOverride>
  </w:num>
  <w:num w:numId="60" w16cid:durableId="8686857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331159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340399194">
    <w:abstractNumId w:val="11"/>
    <w:lvlOverride w:ilvl="0">
      <w:startOverride w:val="1"/>
    </w:lvlOverride>
  </w:num>
  <w:num w:numId="63" w16cid:durableId="11381055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100248201">
    <w:abstractNumId w:val="11"/>
    <w:lvlOverride w:ilvl="0">
      <w:startOverride w:val="1"/>
    </w:lvlOverride>
  </w:num>
  <w:num w:numId="65" w16cid:durableId="18433494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7740620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68982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186333318">
    <w:abstractNumId w:val="11"/>
    <w:lvlOverride w:ilvl="0">
      <w:startOverride w:val="1"/>
    </w:lvlOverride>
  </w:num>
  <w:num w:numId="69" w16cid:durableId="19341957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466077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7922149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74804367">
    <w:abstractNumId w:val="11"/>
    <w:lvlOverride w:ilvl="0">
      <w:startOverride w:val="1"/>
    </w:lvlOverride>
  </w:num>
  <w:num w:numId="73" w16cid:durableId="18732970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6141386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6047308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1446146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146965727">
    <w:abstractNumId w:val="11"/>
    <w:lvlOverride w:ilvl="0">
      <w:startOverride w:val="1"/>
    </w:lvlOverride>
  </w:num>
  <w:num w:numId="78" w16cid:durableId="186902959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1283537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8667150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47262895">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352075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3805947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876351092">
    <w:abstractNumId w:val="11"/>
    <w:lvlOverride w:ilvl="0">
      <w:startOverride w:val="1"/>
    </w:lvlOverride>
  </w:num>
  <w:num w:numId="85" w16cid:durableId="17949784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3087057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812288982">
    <w:abstractNumId w:val="11"/>
    <w:lvlOverride w:ilvl="0">
      <w:startOverride w:val="1"/>
    </w:lvlOverride>
  </w:num>
  <w:num w:numId="88" w16cid:durableId="10531928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20493333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844970059">
    <w:abstractNumId w:val="11"/>
    <w:lvlOverride w:ilvl="0">
      <w:startOverride w:val="1"/>
    </w:lvlOverride>
  </w:num>
  <w:num w:numId="91" w16cid:durableId="21415318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3279052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3364238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480146813">
    <w:abstractNumId w:val="11"/>
    <w:lvlOverride w:ilvl="0">
      <w:startOverride w:val="1"/>
    </w:lvlOverride>
  </w:num>
  <w:num w:numId="95" w16cid:durableId="19303818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551400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5674248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8066564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197696955">
    <w:abstractNumId w:val="11"/>
    <w:lvlOverride w:ilvl="0">
      <w:startOverride w:val="1"/>
    </w:lvlOverride>
  </w:num>
  <w:num w:numId="100" w16cid:durableId="10365383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20879907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5275285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0025835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421370194">
    <w:abstractNumId w:val="11"/>
    <w:lvlOverride w:ilvl="0">
      <w:startOverride w:val="1"/>
    </w:lvlOverride>
  </w:num>
  <w:num w:numId="105" w16cid:durableId="2618029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2041540967">
    <w:abstractNumId w:val="11"/>
    <w:lvlOverride w:ilvl="0">
      <w:startOverride w:val="1"/>
    </w:lvlOverride>
  </w:num>
  <w:num w:numId="107" w16cid:durableId="14409514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185896416">
    <w:abstractNumId w:val="11"/>
    <w:lvlOverride w:ilvl="0">
      <w:startOverride w:val="1"/>
    </w:lvlOverride>
  </w:num>
  <w:num w:numId="109" w16cid:durableId="5997983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665480767">
    <w:abstractNumId w:val="11"/>
    <w:lvlOverride w:ilvl="0">
      <w:startOverride w:val="1"/>
    </w:lvlOverride>
  </w:num>
  <w:num w:numId="111" w16cid:durableId="4882095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4109268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878593945">
    <w:abstractNumId w:val="11"/>
    <w:lvlOverride w:ilvl="0">
      <w:startOverride w:val="1"/>
    </w:lvlOverride>
  </w:num>
  <w:num w:numId="114" w16cid:durableId="11431619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824585104">
    <w:abstractNumId w:val="11"/>
    <w:lvlOverride w:ilvl="0">
      <w:startOverride w:val="1"/>
    </w:lvlOverride>
  </w:num>
  <w:num w:numId="116" w16cid:durableId="13754985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372416085">
    <w:abstractNumId w:val="11"/>
    <w:lvlOverride w:ilvl="0">
      <w:startOverride w:val="1"/>
    </w:lvlOverride>
  </w:num>
  <w:num w:numId="118" w16cid:durableId="12517695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3461778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0765163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4587682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710153676">
    <w:abstractNumId w:val="11"/>
    <w:lvlOverride w:ilvl="0">
      <w:startOverride w:val="1"/>
    </w:lvlOverride>
  </w:num>
  <w:num w:numId="123" w16cid:durableId="3813653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8080838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7450574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20055459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830828313">
    <w:abstractNumId w:val="11"/>
    <w:lvlOverride w:ilvl="0">
      <w:startOverride w:val="1"/>
    </w:lvlOverride>
  </w:num>
  <w:num w:numId="128" w16cid:durableId="1173814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7502792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42937372">
    <w:abstractNumId w:val="11"/>
    <w:lvlOverride w:ilvl="0">
      <w:startOverride w:val="1"/>
    </w:lvlOverride>
  </w:num>
  <w:num w:numId="131" w16cid:durableId="9231064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5417520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4103487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3199644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775857997">
    <w:abstractNumId w:val="11"/>
    <w:lvlOverride w:ilvl="0">
      <w:startOverride w:val="1"/>
    </w:lvlOverride>
  </w:num>
  <w:num w:numId="136" w16cid:durableId="4065333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3543543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6707236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9257672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360860854">
    <w:abstractNumId w:val="11"/>
    <w:lvlOverride w:ilvl="0">
      <w:startOverride w:val="1"/>
    </w:lvlOverride>
  </w:num>
  <w:num w:numId="141" w16cid:durableId="16865923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7399833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782964680">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624238794">
    <w:abstractNumId w:val="11"/>
    <w:lvlOverride w:ilvl="0">
      <w:startOverride w:val="1"/>
    </w:lvlOverride>
  </w:num>
  <w:num w:numId="145" w16cid:durableId="20290613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6588444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482773765">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1056734091">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103040675">
    <w:abstractNumId w:val="11"/>
    <w:lvlOverride w:ilvl="0">
      <w:startOverride w:val="1"/>
    </w:lvlOverride>
  </w:num>
  <w:num w:numId="150" w16cid:durableId="12637555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16189447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1151100227">
    <w:abstractNumId w:val="11"/>
    <w:lvlOverride w:ilvl="0">
      <w:startOverride w:val="1"/>
    </w:lvlOverride>
  </w:num>
  <w:num w:numId="153" w16cid:durableId="180954480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5328424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9387610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2045278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15335667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36147425">
    <w:abstractNumId w:val="11"/>
    <w:lvlOverride w:ilvl="0">
      <w:startOverride w:val="1"/>
    </w:lvlOverride>
  </w:num>
  <w:num w:numId="159" w16cid:durableId="1016922256">
    <w:abstractNumId w:val="11"/>
    <w:lvlOverride w:ilvl="0">
      <w:startOverride w:val="1"/>
    </w:lvlOverride>
  </w:num>
  <w:num w:numId="160" w16cid:durableId="13368862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1504854707">
    <w:abstractNumId w:val="11"/>
    <w:lvlOverride w:ilvl="0">
      <w:startOverride w:val="1"/>
    </w:lvlOverride>
  </w:num>
  <w:num w:numId="162" w16cid:durableId="1652439124">
    <w:abstractNumId w:val="11"/>
    <w:lvlOverride w:ilvl="0">
      <w:startOverride w:val="1"/>
    </w:lvlOverride>
  </w:num>
  <w:num w:numId="163" w16cid:durableId="10225603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869414788">
    <w:abstractNumId w:val="11"/>
    <w:lvlOverride w:ilvl="0">
      <w:startOverride w:val="1"/>
    </w:lvlOverride>
  </w:num>
  <w:num w:numId="165" w16cid:durableId="15835652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6711849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1238829372">
    <w:abstractNumId w:val="11"/>
    <w:lvlOverride w:ilvl="0">
      <w:startOverride w:val="1"/>
    </w:lvlOverride>
  </w:num>
  <w:num w:numId="168" w16cid:durableId="20754642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14460780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1319965976">
    <w:abstractNumId w:val="11"/>
    <w:lvlOverride w:ilvl="0">
      <w:startOverride w:val="1"/>
    </w:lvlOverride>
  </w:num>
  <w:num w:numId="171" w16cid:durableId="18926148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8675296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8734267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758093040">
    <w:abstractNumId w:val="11"/>
    <w:lvlOverride w:ilvl="0">
      <w:startOverride w:val="1"/>
    </w:lvlOverride>
  </w:num>
  <w:num w:numId="175" w16cid:durableId="6882182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14873589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4259978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16cid:durableId="3542365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16cid:durableId="7509258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1143086801">
    <w:abstractNumId w:val="11"/>
    <w:lvlOverride w:ilvl="0">
      <w:startOverride w:val="1"/>
    </w:lvlOverride>
  </w:num>
  <w:num w:numId="181" w16cid:durableId="8634449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13263977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1162665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8570849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6054297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16cid:durableId="1946956104">
    <w:abstractNumId w:val="11"/>
    <w:lvlOverride w:ilvl="0">
      <w:startOverride w:val="1"/>
    </w:lvlOverride>
  </w:num>
  <w:num w:numId="187" w16cid:durableId="8620115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16cid:durableId="19986126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20249335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16cid:durableId="2035761795">
    <w:abstractNumId w:val="11"/>
    <w:lvlOverride w:ilvl="0">
      <w:startOverride w:val="1"/>
    </w:lvlOverride>
  </w:num>
  <w:num w:numId="191" w16cid:durableId="5328121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16cid:durableId="3092131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16cid:durableId="11365342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16cid:durableId="4291622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16cid:durableId="6520293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1709181016">
    <w:abstractNumId w:val="11"/>
    <w:lvlOverride w:ilvl="0">
      <w:startOverride w:val="1"/>
    </w:lvlOverride>
  </w:num>
  <w:num w:numId="197" w16cid:durableId="5232061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16cid:durableId="4551486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16cid:durableId="1179939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16cid:durableId="902445801">
    <w:abstractNumId w:val="11"/>
    <w:lvlOverride w:ilvl="0">
      <w:startOverride w:val="1"/>
    </w:lvlOverride>
  </w:num>
  <w:num w:numId="201" w16cid:durableId="2746743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249864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16cid:durableId="17303020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16cid:durableId="2131627329">
    <w:abstractNumId w:val="11"/>
    <w:lvlOverride w:ilvl="0">
      <w:startOverride w:val="1"/>
    </w:lvlOverride>
  </w:num>
  <w:num w:numId="205" w16cid:durableId="21471164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13833343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16cid:durableId="10477991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10773626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1346326925">
    <w:abstractNumId w:val="11"/>
    <w:lvlOverride w:ilvl="0">
      <w:startOverride w:val="1"/>
    </w:lvlOverride>
  </w:num>
  <w:num w:numId="210" w16cid:durableId="5357020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16cid:durableId="10940087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16cid:durableId="802199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16cid:durableId="7574117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4039921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240722798">
    <w:abstractNumId w:val="11"/>
    <w:lvlOverride w:ilvl="0">
      <w:startOverride w:val="1"/>
    </w:lvlOverride>
  </w:num>
  <w:num w:numId="216" w16cid:durableId="14116557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16cid:durableId="11040393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9491200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895477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16cid:durableId="9840927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16cid:durableId="320037452">
    <w:abstractNumId w:val="11"/>
    <w:lvlOverride w:ilvl="0">
      <w:startOverride w:val="1"/>
    </w:lvlOverride>
  </w:num>
  <w:num w:numId="222" w16cid:durableId="601780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21275752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16cid:durableId="4080434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4098886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1242644897">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16cid:durableId="344981879">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16cid:durableId="14999264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16cid:durableId="1926839656">
    <w:abstractNumId w:val="11"/>
    <w:lvlOverride w:ilvl="0">
      <w:startOverride w:val="1"/>
    </w:lvlOverride>
  </w:num>
  <w:num w:numId="230" w16cid:durableId="1637372848">
    <w:abstractNumId w:val="11"/>
    <w:lvlOverride w:ilvl="0">
      <w:startOverride w:val="1"/>
    </w:lvlOverride>
  </w:num>
  <w:num w:numId="231" w16cid:durableId="1190304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16cid:durableId="101458322">
    <w:abstractNumId w:val="11"/>
    <w:lvlOverride w:ilvl="0">
      <w:startOverride w:val="1"/>
    </w:lvlOverride>
  </w:num>
  <w:num w:numId="233" w16cid:durableId="162086169">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16cid:durableId="279840201">
    <w:abstractNumId w:val="11"/>
  </w:num>
  <w:num w:numId="235" w16cid:durableId="1048918542">
    <w:abstractNumId w:val="11"/>
    <w:lvlOverride w:ilvl="0">
      <w:startOverride w:val="1"/>
    </w:lvlOverride>
  </w:num>
  <w:num w:numId="236" w16cid:durableId="1805853210">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16cid:durableId="1978101436">
    <w:abstractNumId w:val="12"/>
  </w:num>
  <w:num w:numId="238" w16cid:durableId="1511984587">
    <w:abstractNumId w:val="0"/>
  </w:num>
  <w:num w:numId="239" w16cid:durableId="2064088563">
    <w:abstractNumId w:val="9"/>
  </w:num>
  <w:num w:numId="240" w16cid:durableId="1273249622">
    <w:abstractNumId w:val="11"/>
    <w:lvlOverride w:ilvl="0">
      <w:startOverride w:val="1"/>
    </w:lvlOverride>
  </w:num>
  <w:num w:numId="241" w16cid:durableId="18240088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16cid:durableId="1596589795">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16cid:durableId="872767633">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16cid:durableId="1985619883">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16cid:durableId="20382405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16cid:durableId="13332905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16cid:durableId="563561243">
    <w:abstractNumId w:val="11"/>
    <w:lvlOverride w:ilvl="0">
      <w:startOverride w:val="1"/>
    </w:lvlOverride>
  </w:num>
  <w:num w:numId="248" w16cid:durableId="6935763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16cid:durableId="18504803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16cid:durableId="94252727">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16cid:durableId="322121513">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16cid:durableId="1772819633">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16cid:durableId="829180889">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16cid:durableId="370348696">
    <w:abstractNumId w:val="11"/>
    <w:lvlOverride w:ilvl="0">
      <w:startOverride w:val="1"/>
    </w:lvlOverride>
  </w:num>
  <w:num w:numId="255" w16cid:durableId="1195427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16cid:durableId="16687090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16cid:durableId="10927735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M3NDc0NDY0NzG0MDFQ0lEKTi0uzszPAymwqAUATV7HCywAAAA="/>
  </w:docVars>
  <w:rsids>
    <w:rsidRoot w:val="0038729F"/>
    <w:rsid w:val="000022B2"/>
    <w:rsid w:val="00002E43"/>
    <w:rsid w:val="00003073"/>
    <w:rsid w:val="00003237"/>
    <w:rsid w:val="0000346E"/>
    <w:rsid w:val="00004AF9"/>
    <w:rsid w:val="0000564B"/>
    <w:rsid w:val="00005D89"/>
    <w:rsid w:val="00006631"/>
    <w:rsid w:val="000066C1"/>
    <w:rsid w:val="00006BF9"/>
    <w:rsid w:val="00006FEA"/>
    <w:rsid w:val="00010B36"/>
    <w:rsid w:val="0001217A"/>
    <w:rsid w:val="0001283E"/>
    <w:rsid w:val="0001355B"/>
    <w:rsid w:val="00014422"/>
    <w:rsid w:val="00014957"/>
    <w:rsid w:val="00015FF9"/>
    <w:rsid w:val="0001698E"/>
    <w:rsid w:val="00016DAD"/>
    <w:rsid w:val="00017481"/>
    <w:rsid w:val="00017C36"/>
    <w:rsid w:val="00017CF9"/>
    <w:rsid w:val="00020BB8"/>
    <w:rsid w:val="00020ED4"/>
    <w:rsid w:val="000210B6"/>
    <w:rsid w:val="0002151C"/>
    <w:rsid w:val="0002168F"/>
    <w:rsid w:val="00022911"/>
    <w:rsid w:val="00023CFB"/>
    <w:rsid w:val="00023D0A"/>
    <w:rsid w:val="00024007"/>
    <w:rsid w:val="00024E85"/>
    <w:rsid w:val="00025C03"/>
    <w:rsid w:val="00025E0D"/>
    <w:rsid w:val="000264D4"/>
    <w:rsid w:val="000267E2"/>
    <w:rsid w:val="000305FB"/>
    <w:rsid w:val="00031038"/>
    <w:rsid w:val="00031F08"/>
    <w:rsid w:val="00032858"/>
    <w:rsid w:val="000328FA"/>
    <w:rsid w:val="00032B5B"/>
    <w:rsid w:val="00033049"/>
    <w:rsid w:val="00033833"/>
    <w:rsid w:val="00034A31"/>
    <w:rsid w:val="0003666E"/>
    <w:rsid w:val="00036C53"/>
    <w:rsid w:val="00037071"/>
    <w:rsid w:val="000379AC"/>
    <w:rsid w:val="00040020"/>
    <w:rsid w:val="0004043B"/>
    <w:rsid w:val="00042D45"/>
    <w:rsid w:val="0004300F"/>
    <w:rsid w:val="00044159"/>
    <w:rsid w:val="0004474A"/>
    <w:rsid w:val="00045049"/>
    <w:rsid w:val="000502F5"/>
    <w:rsid w:val="00050D88"/>
    <w:rsid w:val="00051771"/>
    <w:rsid w:val="00051C07"/>
    <w:rsid w:val="00053D44"/>
    <w:rsid w:val="000541B2"/>
    <w:rsid w:val="00054665"/>
    <w:rsid w:val="000547E2"/>
    <w:rsid w:val="00054C58"/>
    <w:rsid w:val="00055E43"/>
    <w:rsid w:val="0005610C"/>
    <w:rsid w:val="0005617B"/>
    <w:rsid w:val="000569D1"/>
    <w:rsid w:val="000575BE"/>
    <w:rsid w:val="000612FD"/>
    <w:rsid w:val="00061C74"/>
    <w:rsid w:val="00061DDC"/>
    <w:rsid w:val="00062C11"/>
    <w:rsid w:val="000644BF"/>
    <w:rsid w:val="000656AB"/>
    <w:rsid w:val="00065A80"/>
    <w:rsid w:val="00066896"/>
    <w:rsid w:val="00066E53"/>
    <w:rsid w:val="000677BA"/>
    <w:rsid w:val="00070116"/>
    <w:rsid w:val="00073001"/>
    <w:rsid w:val="0007335B"/>
    <w:rsid w:val="000737BC"/>
    <w:rsid w:val="000738B4"/>
    <w:rsid w:val="000741F2"/>
    <w:rsid w:val="000749F0"/>
    <w:rsid w:val="00076699"/>
    <w:rsid w:val="000768E0"/>
    <w:rsid w:val="00076F8E"/>
    <w:rsid w:val="00077379"/>
    <w:rsid w:val="000802C9"/>
    <w:rsid w:val="00080A03"/>
    <w:rsid w:val="00080A8A"/>
    <w:rsid w:val="00082549"/>
    <w:rsid w:val="0008258D"/>
    <w:rsid w:val="000827D6"/>
    <w:rsid w:val="0008361A"/>
    <w:rsid w:val="00087934"/>
    <w:rsid w:val="00087DF4"/>
    <w:rsid w:val="00091FC9"/>
    <w:rsid w:val="000924FB"/>
    <w:rsid w:val="00092CD6"/>
    <w:rsid w:val="00094208"/>
    <w:rsid w:val="00094A2A"/>
    <w:rsid w:val="000960CF"/>
    <w:rsid w:val="0009616A"/>
    <w:rsid w:val="00096A81"/>
    <w:rsid w:val="000973E9"/>
    <w:rsid w:val="00097642"/>
    <w:rsid w:val="00097A06"/>
    <w:rsid w:val="000A089A"/>
    <w:rsid w:val="000A0E3D"/>
    <w:rsid w:val="000A1167"/>
    <w:rsid w:val="000A4CC9"/>
    <w:rsid w:val="000A5660"/>
    <w:rsid w:val="000A63A3"/>
    <w:rsid w:val="000A64B3"/>
    <w:rsid w:val="000A67C8"/>
    <w:rsid w:val="000A725C"/>
    <w:rsid w:val="000A7A4B"/>
    <w:rsid w:val="000A7C66"/>
    <w:rsid w:val="000B1D72"/>
    <w:rsid w:val="000B3855"/>
    <w:rsid w:val="000B3B83"/>
    <w:rsid w:val="000B3D67"/>
    <w:rsid w:val="000B4059"/>
    <w:rsid w:val="000B4B7E"/>
    <w:rsid w:val="000B4F85"/>
    <w:rsid w:val="000B50C0"/>
    <w:rsid w:val="000B649B"/>
    <w:rsid w:val="000B70CE"/>
    <w:rsid w:val="000C0228"/>
    <w:rsid w:val="000C079D"/>
    <w:rsid w:val="000C0A02"/>
    <w:rsid w:val="000C1190"/>
    <w:rsid w:val="000C1792"/>
    <w:rsid w:val="000C186B"/>
    <w:rsid w:val="000C1FA6"/>
    <w:rsid w:val="000C22BA"/>
    <w:rsid w:val="000C24A8"/>
    <w:rsid w:val="000C292C"/>
    <w:rsid w:val="000C3179"/>
    <w:rsid w:val="000C4B77"/>
    <w:rsid w:val="000C52FE"/>
    <w:rsid w:val="000C7665"/>
    <w:rsid w:val="000D0616"/>
    <w:rsid w:val="000D1068"/>
    <w:rsid w:val="000D2043"/>
    <w:rsid w:val="000D2638"/>
    <w:rsid w:val="000D2B22"/>
    <w:rsid w:val="000D2D94"/>
    <w:rsid w:val="000D44E6"/>
    <w:rsid w:val="000D58B3"/>
    <w:rsid w:val="000D5D9B"/>
    <w:rsid w:val="000D5DAC"/>
    <w:rsid w:val="000D65BE"/>
    <w:rsid w:val="000D68E6"/>
    <w:rsid w:val="000D6ADF"/>
    <w:rsid w:val="000D7417"/>
    <w:rsid w:val="000E0424"/>
    <w:rsid w:val="000E06E1"/>
    <w:rsid w:val="000E0C6F"/>
    <w:rsid w:val="000E1BAB"/>
    <w:rsid w:val="000E2298"/>
    <w:rsid w:val="000E26C9"/>
    <w:rsid w:val="000E27E4"/>
    <w:rsid w:val="000E3935"/>
    <w:rsid w:val="000E41B1"/>
    <w:rsid w:val="000E49F4"/>
    <w:rsid w:val="000E4F1B"/>
    <w:rsid w:val="000E546F"/>
    <w:rsid w:val="000E6300"/>
    <w:rsid w:val="000E6B38"/>
    <w:rsid w:val="000E74C9"/>
    <w:rsid w:val="000E79ED"/>
    <w:rsid w:val="000F00C1"/>
    <w:rsid w:val="000F0628"/>
    <w:rsid w:val="000F0CCF"/>
    <w:rsid w:val="000F4144"/>
    <w:rsid w:val="000F4487"/>
    <w:rsid w:val="000F5552"/>
    <w:rsid w:val="000F57BE"/>
    <w:rsid w:val="000F5FC4"/>
    <w:rsid w:val="000F66A2"/>
    <w:rsid w:val="000F6C58"/>
    <w:rsid w:val="001005FD"/>
    <w:rsid w:val="00102A52"/>
    <w:rsid w:val="0010328E"/>
    <w:rsid w:val="001037D5"/>
    <w:rsid w:val="00104159"/>
    <w:rsid w:val="00104F4C"/>
    <w:rsid w:val="00105CF7"/>
    <w:rsid w:val="00105DD8"/>
    <w:rsid w:val="00106EC3"/>
    <w:rsid w:val="001072B4"/>
    <w:rsid w:val="00110472"/>
    <w:rsid w:val="00110C11"/>
    <w:rsid w:val="00110CF5"/>
    <w:rsid w:val="00111488"/>
    <w:rsid w:val="00111782"/>
    <w:rsid w:val="00112BAD"/>
    <w:rsid w:val="001138DB"/>
    <w:rsid w:val="00113AEA"/>
    <w:rsid w:val="00114B69"/>
    <w:rsid w:val="00114DB4"/>
    <w:rsid w:val="00120344"/>
    <w:rsid w:val="001205E3"/>
    <w:rsid w:val="00121121"/>
    <w:rsid w:val="00121B68"/>
    <w:rsid w:val="00121D9A"/>
    <w:rsid w:val="00122D17"/>
    <w:rsid w:val="00123FD7"/>
    <w:rsid w:val="00125D3B"/>
    <w:rsid w:val="00127D75"/>
    <w:rsid w:val="001312E1"/>
    <w:rsid w:val="001322B3"/>
    <w:rsid w:val="00132B29"/>
    <w:rsid w:val="0013492B"/>
    <w:rsid w:val="00134D7C"/>
    <w:rsid w:val="001377D8"/>
    <w:rsid w:val="00137972"/>
    <w:rsid w:val="00137B8D"/>
    <w:rsid w:val="0014039B"/>
    <w:rsid w:val="00140B92"/>
    <w:rsid w:val="00140BEC"/>
    <w:rsid w:val="00140C91"/>
    <w:rsid w:val="0014117B"/>
    <w:rsid w:val="00141B1F"/>
    <w:rsid w:val="00142032"/>
    <w:rsid w:val="00144868"/>
    <w:rsid w:val="001452B6"/>
    <w:rsid w:val="0014551C"/>
    <w:rsid w:val="00145BEF"/>
    <w:rsid w:val="0014633F"/>
    <w:rsid w:val="00146B15"/>
    <w:rsid w:val="001503E6"/>
    <w:rsid w:val="00152DE7"/>
    <w:rsid w:val="0015313E"/>
    <w:rsid w:val="0015367E"/>
    <w:rsid w:val="0015388E"/>
    <w:rsid w:val="00153AB0"/>
    <w:rsid w:val="00154A9E"/>
    <w:rsid w:val="001577AA"/>
    <w:rsid w:val="0016034D"/>
    <w:rsid w:val="00160CDB"/>
    <w:rsid w:val="00161488"/>
    <w:rsid w:val="001616D5"/>
    <w:rsid w:val="00161A74"/>
    <w:rsid w:val="00162B54"/>
    <w:rsid w:val="00163706"/>
    <w:rsid w:val="00163C93"/>
    <w:rsid w:val="00163ED7"/>
    <w:rsid w:val="00164730"/>
    <w:rsid w:val="00165B4F"/>
    <w:rsid w:val="001661FD"/>
    <w:rsid w:val="001700DD"/>
    <w:rsid w:val="00171548"/>
    <w:rsid w:val="001715BE"/>
    <w:rsid w:val="00172E29"/>
    <w:rsid w:val="001734F9"/>
    <w:rsid w:val="0017418C"/>
    <w:rsid w:val="00174F3D"/>
    <w:rsid w:val="00175B4E"/>
    <w:rsid w:val="00176033"/>
    <w:rsid w:val="001764E8"/>
    <w:rsid w:val="00176510"/>
    <w:rsid w:val="00177C20"/>
    <w:rsid w:val="001810BF"/>
    <w:rsid w:val="00182903"/>
    <w:rsid w:val="00182906"/>
    <w:rsid w:val="00182A66"/>
    <w:rsid w:val="00182FBF"/>
    <w:rsid w:val="00184542"/>
    <w:rsid w:val="00186852"/>
    <w:rsid w:val="0018721C"/>
    <w:rsid w:val="00191325"/>
    <w:rsid w:val="00191A93"/>
    <w:rsid w:val="001921EF"/>
    <w:rsid w:val="00193067"/>
    <w:rsid w:val="00195F3B"/>
    <w:rsid w:val="00196193"/>
    <w:rsid w:val="001967B3"/>
    <w:rsid w:val="00197AF4"/>
    <w:rsid w:val="001A19AD"/>
    <w:rsid w:val="001A2116"/>
    <w:rsid w:val="001A22EC"/>
    <w:rsid w:val="001A2CE9"/>
    <w:rsid w:val="001A30D1"/>
    <w:rsid w:val="001A3326"/>
    <w:rsid w:val="001A371E"/>
    <w:rsid w:val="001A386B"/>
    <w:rsid w:val="001A38F9"/>
    <w:rsid w:val="001A4E95"/>
    <w:rsid w:val="001A559B"/>
    <w:rsid w:val="001A690B"/>
    <w:rsid w:val="001A72D5"/>
    <w:rsid w:val="001A78F3"/>
    <w:rsid w:val="001B080B"/>
    <w:rsid w:val="001B19E3"/>
    <w:rsid w:val="001B1A41"/>
    <w:rsid w:val="001B1B18"/>
    <w:rsid w:val="001B1F45"/>
    <w:rsid w:val="001B3120"/>
    <w:rsid w:val="001B3636"/>
    <w:rsid w:val="001B3A3B"/>
    <w:rsid w:val="001B48C9"/>
    <w:rsid w:val="001B4BE1"/>
    <w:rsid w:val="001B62AA"/>
    <w:rsid w:val="001B74DB"/>
    <w:rsid w:val="001B7630"/>
    <w:rsid w:val="001C0D3D"/>
    <w:rsid w:val="001C2001"/>
    <w:rsid w:val="001C3373"/>
    <w:rsid w:val="001C3BCB"/>
    <w:rsid w:val="001C3E25"/>
    <w:rsid w:val="001C3F7B"/>
    <w:rsid w:val="001C41E6"/>
    <w:rsid w:val="001C5228"/>
    <w:rsid w:val="001C5F09"/>
    <w:rsid w:val="001C7CA6"/>
    <w:rsid w:val="001C7DAD"/>
    <w:rsid w:val="001C7FE8"/>
    <w:rsid w:val="001D13B9"/>
    <w:rsid w:val="001D1A5C"/>
    <w:rsid w:val="001D1F7D"/>
    <w:rsid w:val="001D4638"/>
    <w:rsid w:val="001D5383"/>
    <w:rsid w:val="001D58C1"/>
    <w:rsid w:val="001D60C9"/>
    <w:rsid w:val="001D76A4"/>
    <w:rsid w:val="001D7FF4"/>
    <w:rsid w:val="001E0969"/>
    <w:rsid w:val="001E1438"/>
    <w:rsid w:val="001E2068"/>
    <w:rsid w:val="001E219A"/>
    <w:rsid w:val="001E2541"/>
    <w:rsid w:val="001E31A1"/>
    <w:rsid w:val="001E32AC"/>
    <w:rsid w:val="001E3636"/>
    <w:rsid w:val="001E40D9"/>
    <w:rsid w:val="001E5C90"/>
    <w:rsid w:val="001E6603"/>
    <w:rsid w:val="001E6B32"/>
    <w:rsid w:val="001F07E5"/>
    <w:rsid w:val="001F090C"/>
    <w:rsid w:val="001F0FAB"/>
    <w:rsid w:val="001F180D"/>
    <w:rsid w:val="001F4EAF"/>
    <w:rsid w:val="001F5367"/>
    <w:rsid w:val="001F5AD4"/>
    <w:rsid w:val="001F5CF5"/>
    <w:rsid w:val="001F6683"/>
    <w:rsid w:val="001F74AA"/>
    <w:rsid w:val="001F7D9D"/>
    <w:rsid w:val="00200060"/>
    <w:rsid w:val="00200A5F"/>
    <w:rsid w:val="002050F7"/>
    <w:rsid w:val="0020525E"/>
    <w:rsid w:val="00205FBF"/>
    <w:rsid w:val="0020627D"/>
    <w:rsid w:val="00207D62"/>
    <w:rsid w:val="0021000A"/>
    <w:rsid w:val="00210241"/>
    <w:rsid w:val="0021060E"/>
    <w:rsid w:val="00214F9A"/>
    <w:rsid w:val="002172EF"/>
    <w:rsid w:val="00217B40"/>
    <w:rsid w:val="002207E7"/>
    <w:rsid w:val="002209D6"/>
    <w:rsid w:val="00220AC6"/>
    <w:rsid w:val="00220D2F"/>
    <w:rsid w:val="00221D88"/>
    <w:rsid w:val="00221FBD"/>
    <w:rsid w:val="002229A4"/>
    <w:rsid w:val="00222E8B"/>
    <w:rsid w:val="00222E9F"/>
    <w:rsid w:val="00223209"/>
    <w:rsid w:val="002243DE"/>
    <w:rsid w:val="00224B53"/>
    <w:rsid w:val="00224FC8"/>
    <w:rsid w:val="00226179"/>
    <w:rsid w:val="00226343"/>
    <w:rsid w:val="0022639F"/>
    <w:rsid w:val="0022699C"/>
    <w:rsid w:val="00227E50"/>
    <w:rsid w:val="0022F2BA"/>
    <w:rsid w:val="002302EA"/>
    <w:rsid w:val="0023044A"/>
    <w:rsid w:val="0023173A"/>
    <w:rsid w:val="00231911"/>
    <w:rsid w:val="0023194E"/>
    <w:rsid w:val="00231E45"/>
    <w:rsid w:val="00232625"/>
    <w:rsid w:val="00233163"/>
    <w:rsid w:val="0023358A"/>
    <w:rsid w:val="00233F0A"/>
    <w:rsid w:val="00235E35"/>
    <w:rsid w:val="00236148"/>
    <w:rsid w:val="00236580"/>
    <w:rsid w:val="002404EF"/>
    <w:rsid w:val="00240574"/>
    <w:rsid w:val="0024209D"/>
    <w:rsid w:val="00242E41"/>
    <w:rsid w:val="00243019"/>
    <w:rsid w:val="002436EC"/>
    <w:rsid w:val="00243A95"/>
    <w:rsid w:val="00244266"/>
    <w:rsid w:val="002446A8"/>
    <w:rsid w:val="002447D4"/>
    <w:rsid w:val="002448C2"/>
    <w:rsid w:val="00245772"/>
    <w:rsid w:val="0024599C"/>
    <w:rsid w:val="00245C82"/>
    <w:rsid w:val="00245EF3"/>
    <w:rsid w:val="002466F5"/>
    <w:rsid w:val="00247722"/>
    <w:rsid w:val="00250033"/>
    <w:rsid w:val="00250581"/>
    <w:rsid w:val="00250842"/>
    <w:rsid w:val="00250CD8"/>
    <w:rsid w:val="002526CE"/>
    <w:rsid w:val="00252A35"/>
    <w:rsid w:val="0025356D"/>
    <w:rsid w:val="00253A64"/>
    <w:rsid w:val="002541E4"/>
    <w:rsid w:val="00255AAA"/>
    <w:rsid w:val="002560D2"/>
    <w:rsid w:val="00256831"/>
    <w:rsid w:val="00260356"/>
    <w:rsid w:val="002609F0"/>
    <w:rsid w:val="00260B42"/>
    <w:rsid w:val="00260DAE"/>
    <w:rsid w:val="002620B7"/>
    <w:rsid w:val="0026234B"/>
    <w:rsid w:val="00262C03"/>
    <w:rsid w:val="00262FB8"/>
    <w:rsid w:val="00264689"/>
    <w:rsid w:val="0026530B"/>
    <w:rsid w:val="0027053E"/>
    <w:rsid w:val="00271391"/>
    <w:rsid w:val="00272804"/>
    <w:rsid w:val="00272CA2"/>
    <w:rsid w:val="00272D56"/>
    <w:rsid w:val="0027416C"/>
    <w:rsid w:val="00274B8C"/>
    <w:rsid w:val="0027745A"/>
    <w:rsid w:val="002775B6"/>
    <w:rsid w:val="00277742"/>
    <w:rsid w:val="002805CE"/>
    <w:rsid w:val="0028208B"/>
    <w:rsid w:val="00282AFB"/>
    <w:rsid w:val="00282B34"/>
    <w:rsid w:val="00285B8F"/>
    <w:rsid w:val="002861E9"/>
    <w:rsid w:val="002876B6"/>
    <w:rsid w:val="00290DDB"/>
    <w:rsid w:val="002910AE"/>
    <w:rsid w:val="00291D9C"/>
    <w:rsid w:val="002935F3"/>
    <w:rsid w:val="00295130"/>
    <w:rsid w:val="0029545E"/>
    <w:rsid w:val="00295C7F"/>
    <w:rsid w:val="00297F0B"/>
    <w:rsid w:val="002A08EC"/>
    <w:rsid w:val="002A0AD6"/>
    <w:rsid w:val="002A0DB3"/>
    <w:rsid w:val="002A1CD6"/>
    <w:rsid w:val="002A21DB"/>
    <w:rsid w:val="002A2D5B"/>
    <w:rsid w:val="002A3361"/>
    <w:rsid w:val="002A43E6"/>
    <w:rsid w:val="002A4561"/>
    <w:rsid w:val="002A551E"/>
    <w:rsid w:val="002A5770"/>
    <w:rsid w:val="002A781A"/>
    <w:rsid w:val="002B045A"/>
    <w:rsid w:val="002B1045"/>
    <w:rsid w:val="002B2C51"/>
    <w:rsid w:val="002B4741"/>
    <w:rsid w:val="002B5485"/>
    <w:rsid w:val="002B5A25"/>
    <w:rsid w:val="002B65CC"/>
    <w:rsid w:val="002B6D65"/>
    <w:rsid w:val="002B6EFD"/>
    <w:rsid w:val="002C0AD4"/>
    <w:rsid w:val="002C170E"/>
    <w:rsid w:val="002C733E"/>
    <w:rsid w:val="002D0481"/>
    <w:rsid w:val="002D050C"/>
    <w:rsid w:val="002D085B"/>
    <w:rsid w:val="002D08C1"/>
    <w:rsid w:val="002D0927"/>
    <w:rsid w:val="002D267B"/>
    <w:rsid w:val="002D2890"/>
    <w:rsid w:val="002D2A85"/>
    <w:rsid w:val="002D38EE"/>
    <w:rsid w:val="002D43FB"/>
    <w:rsid w:val="002D4BCF"/>
    <w:rsid w:val="002D52AA"/>
    <w:rsid w:val="002D59CF"/>
    <w:rsid w:val="002D60C5"/>
    <w:rsid w:val="002D691A"/>
    <w:rsid w:val="002D6D59"/>
    <w:rsid w:val="002E0D22"/>
    <w:rsid w:val="002E1091"/>
    <w:rsid w:val="002E1416"/>
    <w:rsid w:val="002E1664"/>
    <w:rsid w:val="002E2227"/>
    <w:rsid w:val="002E23E8"/>
    <w:rsid w:val="002E34EE"/>
    <w:rsid w:val="002E3767"/>
    <w:rsid w:val="002E4D72"/>
    <w:rsid w:val="002E52F7"/>
    <w:rsid w:val="002E55BA"/>
    <w:rsid w:val="002E57EE"/>
    <w:rsid w:val="002E5815"/>
    <w:rsid w:val="002E7044"/>
    <w:rsid w:val="002E7440"/>
    <w:rsid w:val="002F0466"/>
    <w:rsid w:val="002F0661"/>
    <w:rsid w:val="002F1407"/>
    <w:rsid w:val="002F23D8"/>
    <w:rsid w:val="002F30B9"/>
    <w:rsid w:val="002F3AC7"/>
    <w:rsid w:val="002F408E"/>
    <w:rsid w:val="002F5363"/>
    <w:rsid w:val="002F6080"/>
    <w:rsid w:val="002F6E5C"/>
    <w:rsid w:val="002F7606"/>
    <w:rsid w:val="002F7AA7"/>
    <w:rsid w:val="002F7BC0"/>
    <w:rsid w:val="002F7F06"/>
    <w:rsid w:val="00300356"/>
    <w:rsid w:val="003017B2"/>
    <w:rsid w:val="00301FB4"/>
    <w:rsid w:val="00302247"/>
    <w:rsid w:val="003028B4"/>
    <w:rsid w:val="003038A7"/>
    <w:rsid w:val="003051BF"/>
    <w:rsid w:val="003054AF"/>
    <w:rsid w:val="00305589"/>
    <w:rsid w:val="0030624A"/>
    <w:rsid w:val="003067BD"/>
    <w:rsid w:val="00307654"/>
    <w:rsid w:val="003076B6"/>
    <w:rsid w:val="003079E0"/>
    <w:rsid w:val="00307E8D"/>
    <w:rsid w:val="003103FD"/>
    <w:rsid w:val="003106AE"/>
    <w:rsid w:val="00310811"/>
    <w:rsid w:val="0031276A"/>
    <w:rsid w:val="003128D2"/>
    <w:rsid w:val="003137F4"/>
    <w:rsid w:val="00313DB7"/>
    <w:rsid w:val="00313DCF"/>
    <w:rsid w:val="00314367"/>
    <w:rsid w:val="0031460B"/>
    <w:rsid w:val="003152FB"/>
    <w:rsid w:val="00316919"/>
    <w:rsid w:val="00316D3F"/>
    <w:rsid w:val="00317529"/>
    <w:rsid w:val="00317CAA"/>
    <w:rsid w:val="00320107"/>
    <w:rsid w:val="0032029E"/>
    <w:rsid w:val="00321F72"/>
    <w:rsid w:val="00322893"/>
    <w:rsid w:val="0032289A"/>
    <w:rsid w:val="00323E11"/>
    <w:rsid w:val="00323F11"/>
    <w:rsid w:val="00323FE4"/>
    <w:rsid w:val="0032502F"/>
    <w:rsid w:val="0032522E"/>
    <w:rsid w:val="00326BBD"/>
    <w:rsid w:val="00326DAA"/>
    <w:rsid w:val="00326F86"/>
    <w:rsid w:val="00327FCA"/>
    <w:rsid w:val="00330FCF"/>
    <w:rsid w:val="0033228D"/>
    <w:rsid w:val="00333053"/>
    <w:rsid w:val="00333CAE"/>
    <w:rsid w:val="0033487D"/>
    <w:rsid w:val="00334DDA"/>
    <w:rsid w:val="0033667D"/>
    <w:rsid w:val="00336C5D"/>
    <w:rsid w:val="00336C81"/>
    <w:rsid w:val="00337558"/>
    <w:rsid w:val="00337743"/>
    <w:rsid w:val="00337929"/>
    <w:rsid w:val="00337E2F"/>
    <w:rsid w:val="0034081F"/>
    <w:rsid w:val="003414E6"/>
    <w:rsid w:val="00341800"/>
    <w:rsid w:val="003430F1"/>
    <w:rsid w:val="00343E1B"/>
    <w:rsid w:val="003452E0"/>
    <w:rsid w:val="00345F8E"/>
    <w:rsid w:val="00347720"/>
    <w:rsid w:val="003479FC"/>
    <w:rsid w:val="00350142"/>
    <w:rsid w:val="00350ED0"/>
    <w:rsid w:val="003519E8"/>
    <w:rsid w:val="00351EEA"/>
    <w:rsid w:val="00352DC2"/>
    <w:rsid w:val="00354369"/>
    <w:rsid w:val="00354ED4"/>
    <w:rsid w:val="003550A2"/>
    <w:rsid w:val="00355692"/>
    <w:rsid w:val="003556BF"/>
    <w:rsid w:val="00355B42"/>
    <w:rsid w:val="00357534"/>
    <w:rsid w:val="0035770C"/>
    <w:rsid w:val="00357830"/>
    <w:rsid w:val="003622AC"/>
    <w:rsid w:val="0036301C"/>
    <w:rsid w:val="00364379"/>
    <w:rsid w:val="00364589"/>
    <w:rsid w:val="0036501E"/>
    <w:rsid w:val="00365F1B"/>
    <w:rsid w:val="0036623D"/>
    <w:rsid w:val="003662DF"/>
    <w:rsid w:val="00367CF9"/>
    <w:rsid w:val="003715F8"/>
    <w:rsid w:val="00371624"/>
    <w:rsid w:val="00371F0F"/>
    <w:rsid w:val="00371FE0"/>
    <w:rsid w:val="00372071"/>
    <w:rsid w:val="003728F5"/>
    <w:rsid w:val="003735AE"/>
    <w:rsid w:val="00374FE7"/>
    <w:rsid w:val="0037570B"/>
    <w:rsid w:val="003760CE"/>
    <w:rsid w:val="00376840"/>
    <w:rsid w:val="0037717F"/>
    <w:rsid w:val="00377F60"/>
    <w:rsid w:val="00380165"/>
    <w:rsid w:val="003804C1"/>
    <w:rsid w:val="00380520"/>
    <w:rsid w:val="003805AE"/>
    <w:rsid w:val="003810BB"/>
    <w:rsid w:val="00383802"/>
    <w:rsid w:val="00383B48"/>
    <w:rsid w:val="003841BA"/>
    <w:rsid w:val="003846BC"/>
    <w:rsid w:val="00386EB6"/>
    <w:rsid w:val="0038729F"/>
    <w:rsid w:val="0038736F"/>
    <w:rsid w:val="0038741B"/>
    <w:rsid w:val="00387ACB"/>
    <w:rsid w:val="00387EF3"/>
    <w:rsid w:val="003902C7"/>
    <w:rsid w:val="00390AFC"/>
    <w:rsid w:val="00390BAF"/>
    <w:rsid w:val="00390CC9"/>
    <w:rsid w:val="00390F6C"/>
    <w:rsid w:val="00391130"/>
    <w:rsid w:val="00391720"/>
    <w:rsid w:val="00391D1D"/>
    <w:rsid w:val="003921FC"/>
    <w:rsid w:val="00392F1B"/>
    <w:rsid w:val="003948F9"/>
    <w:rsid w:val="00394CE7"/>
    <w:rsid w:val="0039511C"/>
    <w:rsid w:val="0039538F"/>
    <w:rsid w:val="00395AA5"/>
    <w:rsid w:val="0039646F"/>
    <w:rsid w:val="00397A9B"/>
    <w:rsid w:val="003A045D"/>
    <w:rsid w:val="003A1D61"/>
    <w:rsid w:val="003A25B4"/>
    <w:rsid w:val="003A27FA"/>
    <w:rsid w:val="003A2D76"/>
    <w:rsid w:val="003A322C"/>
    <w:rsid w:val="003A4736"/>
    <w:rsid w:val="003A6827"/>
    <w:rsid w:val="003A7264"/>
    <w:rsid w:val="003A731B"/>
    <w:rsid w:val="003A7747"/>
    <w:rsid w:val="003B09E1"/>
    <w:rsid w:val="003B1053"/>
    <w:rsid w:val="003B168C"/>
    <w:rsid w:val="003B24AE"/>
    <w:rsid w:val="003B3D8E"/>
    <w:rsid w:val="003B3DF5"/>
    <w:rsid w:val="003B4A85"/>
    <w:rsid w:val="003B65E7"/>
    <w:rsid w:val="003B6BD6"/>
    <w:rsid w:val="003B7742"/>
    <w:rsid w:val="003B775D"/>
    <w:rsid w:val="003B7E4B"/>
    <w:rsid w:val="003C081C"/>
    <w:rsid w:val="003C2EE9"/>
    <w:rsid w:val="003C400C"/>
    <w:rsid w:val="003C5CDF"/>
    <w:rsid w:val="003C5F18"/>
    <w:rsid w:val="003C7983"/>
    <w:rsid w:val="003C7F4C"/>
    <w:rsid w:val="003D0145"/>
    <w:rsid w:val="003D080A"/>
    <w:rsid w:val="003D0A2B"/>
    <w:rsid w:val="003D1EC3"/>
    <w:rsid w:val="003D32B1"/>
    <w:rsid w:val="003D56F5"/>
    <w:rsid w:val="003D6589"/>
    <w:rsid w:val="003D67FF"/>
    <w:rsid w:val="003E04A8"/>
    <w:rsid w:val="003E1218"/>
    <w:rsid w:val="003E15B8"/>
    <w:rsid w:val="003E1EDF"/>
    <w:rsid w:val="003E3244"/>
    <w:rsid w:val="003E4717"/>
    <w:rsid w:val="003E63F6"/>
    <w:rsid w:val="003E783C"/>
    <w:rsid w:val="003E7BFE"/>
    <w:rsid w:val="003F00C2"/>
    <w:rsid w:val="003F035A"/>
    <w:rsid w:val="003F10B1"/>
    <w:rsid w:val="003F190A"/>
    <w:rsid w:val="003F2DAF"/>
    <w:rsid w:val="003F3E64"/>
    <w:rsid w:val="003F4BB6"/>
    <w:rsid w:val="003F4BF8"/>
    <w:rsid w:val="003F5F74"/>
    <w:rsid w:val="003F6464"/>
    <w:rsid w:val="003F6C95"/>
    <w:rsid w:val="003F70D0"/>
    <w:rsid w:val="003F7B92"/>
    <w:rsid w:val="00400FCA"/>
    <w:rsid w:val="004011BC"/>
    <w:rsid w:val="004029C7"/>
    <w:rsid w:val="0040402C"/>
    <w:rsid w:val="00406CA4"/>
    <w:rsid w:val="00407A73"/>
    <w:rsid w:val="0040BE47"/>
    <w:rsid w:val="00410057"/>
    <w:rsid w:val="004121EB"/>
    <w:rsid w:val="00412DC9"/>
    <w:rsid w:val="0041348C"/>
    <w:rsid w:val="0041353F"/>
    <w:rsid w:val="00415890"/>
    <w:rsid w:val="00416B52"/>
    <w:rsid w:val="00416F36"/>
    <w:rsid w:val="00417E66"/>
    <w:rsid w:val="00420D42"/>
    <w:rsid w:val="00420F66"/>
    <w:rsid w:val="0042182E"/>
    <w:rsid w:val="00423D99"/>
    <w:rsid w:val="0042412C"/>
    <w:rsid w:val="0042486E"/>
    <w:rsid w:val="00424B14"/>
    <w:rsid w:val="00425618"/>
    <w:rsid w:val="00425624"/>
    <w:rsid w:val="00427987"/>
    <w:rsid w:val="0043022A"/>
    <w:rsid w:val="004305B0"/>
    <w:rsid w:val="00430877"/>
    <w:rsid w:val="00430E3A"/>
    <w:rsid w:val="004312C3"/>
    <w:rsid w:val="00432468"/>
    <w:rsid w:val="004325BF"/>
    <w:rsid w:val="00432FFC"/>
    <w:rsid w:val="00434B0A"/>
    <w:rsid w:val="00435ABC"/>
    <w:rsid w:val="00435EFE"/>
    <w:rsid w:val="0043600E"/>
    <w:rsid w:val="00436E4C"/>
    <w:rsid w:val="00436F32"/>
    <w:rsid w:val="004420DD"/>
    <w:rsid w:val="004428DF"/>
    <w:rsid w:val="00442DFE"/>
    <w:rsid w:val="0044314A"/>
    <w:rsid w:val="00444A0C"/>
    <w:rsid w:val="00445519"/>
    <w:rsid w:val="00446AB4"/>
    <w:rsid w:val="00446F07"/>
    <w:rsid w:val="00450865"/>
    <w:rsid w:val="00451662"/>
    <w:rsid w:val="00451B09"/>
    <w:rsid w:val="00451B22"/>
    <w:rsid w:val="00452695"/>
    <w:rsid w:val="00454000"/>
    <w:rsid w:val="00455964"/>
    <w:rsid w:val="00456630"/>
    <w:rsid w:val="00457884"/>
    <w:rsid w:val="00457F4A"/>
    <w:rsid w:val="0045F6F8"/>
    <w:rsid w:val="004601A6"/>
    <w:rsid w:val="00460ACB"/>
    <w:rsid w:val="00461B31"/>
    <w:rsid w:val="0046268E"/>
    <w:rsid w:val="004628CE"/>
    <w:rsid w:val="00462A22"/>
    <w:rsid w:val="00463130"/>
    <w:rsid w:val="00463D82"/>
    <w:rsid w:val="00465555"/>
    <w:rsid w:val="00466D23"/>
    <w:rsid w:val="00467AF9"/>
    <w:rsid w:val="00467E7C"/>
    <w:rsid w:val="004709E1"/>
    <w:rsid w:val="004710DB"/>
    <w:rsid w:val="004717E5"/>
    <w:rsid w:val="004731F6"/>
    <w:rsid w:val="0047327C"/>
    <w:rsid w:val="00474003"/>
    <w:rsid w:val="00474577"/>
    <w:rsid w:val="00475B9D"/>
    <w:rsid w:val="0047648F"/>
    <w:rsid w:val="00476C9E"/>
    <w:rsid w:val="00476CC0"/>
    <w:rsid w:val="00480EA0"/>
    <w:rsid w:val="00481665"/>
    <w:rsid w:val="004831AE"/>
    <w:rsid w:val="004831D3"/>
    <w:rsid w:val="00483E66"/>
    <w:rsid w:val="004848F4"/>
    <w:rsid w:val="00484A32"/>
    <w:rsid w:val="0048529E"/>
    <w:rsid w:val="00485BBA"/>
    <w:rsid w:val="004869C8"/>
    <w:rsid w:val="004900B0"/>
    <w:rsid w:val="00491043"/>
    <w:rsid w:val="004924F0"/>
    <w:rsid w:val="00492727"/>
    <w:rsid w:val="00492A18"/>
    <w:rsid w:val="00492F84"/>
    <w:rsid w:val="004935B3"/>
    <w:rsid w:val="00494B4D"/>
    <w:rsid w:val="00495085"/>
    <w:rsid w:val="00496404"/>
    <w:rsid w:val="00497844"/>
    <w:rsid w:val="004A01BB"/>
    <w:rsid w:val="004A02FB"/>
    <w:rsid w:val="004A0936"/>
    <w:rsid w:val="004A18DA"/>
    <w:rsid w:val="004A1C5D"/>
    <w:rsid w:val="004A2BE7"/>
    <w:rsid w:val="004A35ED"/>
    <w:rsid w:val="004A5DA0"/>
    <w:rsid w:val="004A7E36"/>
    <w:rsid w:val="004B0925"/>
    <w:rsid w:val="004B0DBF"/>
    <w:rsid w:val="004B13CF"/>
    <w:rsid w:val="004B1457"/>
    <w:rsid w:val="004B19D7"/>
    <w:rsid w:val="004B1F2B"/>
    <w:rsid w:val="004B2EF4"/>
    <w:rsid w:val="004B3C15"/>
    <w:rsid w:val="004B475D"/>
    <w:rsid w:val="004B480A"/>
    <w:rsid w:val="004B4A5C"/>
    <w:rsid w:val="004B62C5"/>
    <w:rsid w:val="004B67F1"/>
    <w:rsid w:val="004B69B9"/>
    <w:rsid w:val="004B7C19"/>
    <w:rsid w:val="004C034F"/>
    <w:rsid w:val="004C1419"/>
    <w:rsid w:val="004C39D4"/>
    <w:rsid w:val="004C4E18"/>
    <w:rsid w:val="004C508D"/>
    <w:rsid w:val="004C5168"/>
    <w:rsid w:val="004C6C74"/>
    <w:rsid w:val="004C6F39"/>
    <w:rsid w:val="004C6F53"/>
    <w:rsid w:val="004C75DB"/>
    <w:rsid w:val="004C7CA5"/>
    <w:rsid w:val="004C7D19"/>
    <w:rsid w:val="004D0D1A"/>
    <w:rsid w:val="004D17F8"/>
    <w:rsid w:val="004D2A34"/>
    <w:rsid w:val="004D3C23"/>
    <w:rsid w:val="004D4C33"/>
    <w:rsid w:val="004D73FC"/>
    <w:rsid w:val="004D7DF2"/>
    <w:rsid w:val="004E07AE"/>
    <w:rsid w:val="004E106C"/>
    <w:rsid w:val="004E1AA5"/>
    <w:rsid w:val="004E1CCF"/>
    <w:rsid w:val="004E2189"/>
    <w:rsid w:val="004E2640"/>
    <w:rsid w:val="004E2C1A"/>
    <w:rsid w:val="004E366D"/>
    <w:rsid w:val="004E3869"/>
    <w:rsid w:val="004E40C3"/>
    <w:rsid w:val="004E425E"/>
    <w:rsid w:val="004E430C"/>
    <w:rsid w:val="004E4E6D"/>
    <w:rsid w:val="004E5ABC"/>
    <w:rsid w:val="004E5D15"/>
    <w:rsid w:val="004E6DCB"/>
    <w:rsid w:val="004E6F87"/>
    <w:rsid w:val="004E7379"/>
    <w:rsid w:val="004E76E3"/>
    <w:rsid w:val="004E7783"/>
    <w:rsid w:val="004F2C69"/>
    <w:rsid w:val="004F3047"/>
    <w:rsid w:val="004F3C10"/>
    <w:rsid w:val="004F48C5"/>
    <w:rsid w:val="004F5AB9"/>
    <w:rsid w:val="004F5F45"/>
    <w:rsid w:val="004F61FA"/>
    <w:rsid w:val="004F7353"/>
    <w:rsid w:val="004F75BC"/>
    <w:rsid w:val="004F7C9B"/>
    <w:rsid w:val="005003B3"/>
    <w:rsid w:val="0050062D"/>
    <w:rsid w:val="00500F58"/>
    <w:rsid w:val="0050290B"/>
    <w:rsid w:val="005031CD"/>
    <w:rsid w:val="0050465E"/>
    <w:rsid w:val="00505791"/>
    <w:rsid w:val="005061C6"/>
    <w:rsid w:val="005069B2"/>
    <w:rsid w:val="00506A46"/>
    <w:rsid w:val="00506A79"/>
    <w:rsid w:val="00506AB6"/>
    <w:rsid w:val="00506ED5"/>
    <w:rsid w:val="0050722C"/>
    <w:rsid w:val="005072D2"/>
    <w:rsid w:val="00507C82"/>
    <w:rsid w:val="0051005B"/>
    <w:rsid w:val="00511749"/>
    <w:rsid w:val="00511951"/>
    <w:rsid w:val="00511F41"/>
    <w:rsid w:val="00513659"/>
    <w:rsid w:val="00513C01"/>
    <w:rsid w:val="00514958"/>
    <w:rsid w:val="00514ABE"/>
    <w:rsid w:val="00520065"/>
    <w:rsid w:val="00520CB2"/>
    <w:rsid w:val="00522842"/>
    <w:rsid w:val="0052355A"/>
    <w:rsid w:val="00523A22"/>
    <w:rsid w:val="00523F46"/>
    <w:rsid w:val="00525E21"/>
    <w:rsid w:val="0052670D"/>
    <w:rsid w:val="005276A5"/>
    <w:rsid w:val="00530322"/>
    <w:rsid w:val="0053206B"/>
    <w:rsid w:val="00532314"/>
    <w:rsid w:val="00532CFD"/>
    <w:rsid w:val="00536E30"/>
    <w:rsid w:val="00537BDC"/>
    <w:rsid w:val="00537F95"/>
    <w:rsid w:val="005400E2"/>
    <w:rsid w:val="00540157"/>
    <w:rsid w:val="00540859"/>
    <w:rsid w:val="00540BEC"/>
    <w:rsid w:val="005411D6"/>
    <w:rsid w:val="005414B5"/>
    <w:rsid w:val="00542010"/>
    <w:rsid w:val="005426B9"/>
    <w:rsid w:val="00543BC3"/>
    <w:rsid w:val="00544051"/>
    <w:rsid w:val="00544874"/>
    <w:rsid w:val="00544A0F"/>
    <w:rsid w:val="0054534C"/>
    <w:rsid w:val="0054563A"/>
    <w:rsid w:val="00545946"/>
    <w:rsid w:val="00545BBB"/>
    <w:rsid w:val="0054641B"/>
    <w:rsid w:val="00546DE4"/>
    <w:rsid w:val="005472B9"/>
    <w:rsid w:val="0054776F"/>
    <w:rsid w:val="0054791F"/>
    <w:rsid w:val="0055222D"/>
    <w:rsid w:val="00552498"/>
    <w:rsid w:val="00552676"/>
    <w:rsid w:val="00552D45"/>
    <w:rsid w:val="005532FD"/>
    <w:rsid w:val="0055567C"/>
    <w:rsid w:val="00556EA5"/>
    <w:rsid w:val="00557886"/>
    <w:rsid w:val="00557D6D"/>
    <w:rsid w:val="0056068D"/>
    <w:rsid w:val="00561A4C"/>
    <w:rsid w:val="00561E6C"/>
    <w:rsid w:val="00562B90"/>
    <w:rsid w:val="0056427E"/>
    <w:rsid w:val="00565C25"/>
    <w:rsid w:val="00566A7E"/>
    <w:rsid w:val="00566E92"/>
    <w:rsid w:val="00567368"/>
    <w:rsid w:val="0057004B"/>
    <w:rsid w:val="0057047E"/>
    <w:rsid w:val="005705E4"/>
    <w:rsid w:val="00570728"/>
    <w:rsid w:val="0057094A"/>
    <w:rsid w:val="0057121F"/>
    <w:rsid w:val="00572032"/>
    <w:rsid w:val="00572137"/>
    <w:rsid w:val="00572864"/>
    <w:rsid w:val="0057308C"/>
    <w:rsid w:val="00575635"/>
    <w:rsid w:val="005808AB"/>
    <w:rsid w:val="0058195F"/>
    <w:rsid w:val="00581B2E"/>
    <w:rsid w:val="0058257E"/>
    <w:rsid w:val="00582871"/>
    <w:rsid w:val="00582A19"/>
    <w:rsid w:val="00582B14"/>
    <w:rsid w:val="005839FA"/>
    <w:rsid w:val="00583A09"/>
    <w:rsid w:val="0058428A"/>
    <w:rsid w:val="00585077"/>
    <w:rsid w:val="005852CE"/>
    <w:rsid w:val="00585435"/>
    <w:rsid w:val="00586743"/>
    <w:rsid w:val="0059007B"/>
    <w:rsid w:val="005901D1"/>
    <w:rsid w:val="005904B8"/>
    <w:rsid w:val="00590E2A"/>
    <w:rsid w:val="00591192"/>
    <w:rsid w:val="005924EF"/>
    <w:rsid w:val="0059303B"/>
    <w:rsid w:val="00593219"/>
    <w:rsid w:val="00593374"/>
    <w:rsid w:val="00593529"/>
    <w:rsid w:val="005946CA"/>
    <w:rsid w:val="00594E5A"/>
    <w:rsid w:val="00595A41"/>
    <w:rsid w:val="005A07DD"/>
    <w:rsid w:val="005A0FC3"/>
    <w:rsid w:val="005A142F"/>
    <w:rsid w:val="005A1825"/>
    <w:rsid w:val="005A1EE1"/>
    <w:rsid w:val="005A2116"/>
    <w:rsid w:val="005A2554"/>
    <w:rsid w:val="005A3017"/>
    <w:rsid w:val="005A3223"/>
    <w:rsid w:val="005A369D"/>
    <w:rsid w:val="005A3CAA"/>
    <w:rsid w:val="005A4C70"/>
    <w:rsid w:val="005A6F5A"/>
    <w:rsid w:val="005B0A20"/>
    <w:rsid w:val="005B1971"/>
    <w:rsid w:val="005B1983"/>
    <w:rsid w:val="005B1A00"/>
    <w:rsid w:val="005B1D3D"/>
    <w:rsid w:val="005B24FD"/>
    <w:rsid w:val="005B2676"/>
    <w:rsid w:val="005B2C88"/>
    <w:rsid w:val="005B2D76"/>
    <w:rsid w:val="005B2F7F"/>
    <w:rsid w:val="005B3BF3"/>
    <w:rsid w:val="005B3C6E"/>
    <w:rsid w:val="005B401F"/>
    <w:rsid w:val="005B42AB"/>
    <w:rsid w:val="005B4BC2"/>
    <w:rsid w:val="005B4D4A"/>
    <w:rsid w:val="005B589E"/>
    <w:rsid w:val="005B5B5E"/>
    <w:rsid w:val="005B78D9"/>
    <w:rsid w:val="005B7D46"/>
    <w:rsid w:val="005C0CF3"/>
    <w:rsid w:val="005C380B"/>
    <w:rsid w:val="005C3B9A"/>
    <w:rsid w:val="005C494F"/>
    <w:rsid w:val="005C5064"/>
    <w:rsid w:val="005D124A"/>
    <w:rsid w:val="005D2177"/>
    <w:rsid w:val="005D2820"/>
    <w:rsid w:val="005D511F"/>
    <w:rsid w:val="005D593C"/>
    <w:rsid w:val="005D6408"/>
    <w:rsid w:val="005D6719"/>
    <w:rsid w:val="005D7695"/>
    <w:rsid w:val="005D7C7E"/>
    <w:rsid w:val="005D7F75"/>
    <w:rsid w:val="005E09D5"/>
    <w:rsid w:val="005E1D10"/>
    <w:rsid w:val="005E29CE"/>
    <w:rsid w:val="005E315E"/>
    <w:rsid w:val="005E323B"/>
    <w:rsid w:val="005E36DA"/>
    <w:rsid w:val="005E4DDB"/>
    <w:rsid w:val="005E5849"/>
    <w:rsid w:val="005E6819"/>
    <w:rsid w:val="005F06E3"/>
    <w:rsid w:val="005F07B9"/>
    <w:rsid w:val="005F0B72"/>
    <w:rsid w:val="005F0BB4"/>
    <w:rsid w:val="005F0EA0"/>
    <w:rsid w:val="005F1520"/>
    <w:rsid w:val="005F33A3"/>
    <w:rsid w:val="005F4451"/>
    <w:rsid w:val="005F4C73"/>
    <w:rsid w:val="005F4CE2"/>
    <w:rsid w:val="005F6932"/>
    <w:rsid w:val="005F7329"/>
    <w:rsid w:val="005F7624"/>
    <w:rsid w:val="005F7737"/>
    <w:rsid w:val="005F794C"/>
    <w:rsid w:val="005F7BAE"/>
    <w:rsid w:val="00600131"/>
    <w:rsid w:val="00600910"/>
    <w:rsid w:val="00600A30"/>
    <w:rsid w:val="00601871"/>
    <w:rsid w:val="006018E0"/>
    <w:rsid w:val="00601D75"/>
    <w:rsid w:val="00602451"/>
    <w:rsid w:val="0060263D"/>
    <w:rsid w:val="00602BFA"/>
    <w:rsid w:val="00602D32"/>
    <w:rsid w:val="00603617"/>
    <w:rsid w:val="0060594C"/>
    <w:rsid w:val="00605C3A"/>
    <w:rsid w:val="00605DA4"/>
    <w:rsid w:val="0060652B"/>
    <w:rsid w:val="00607438"/>
    <w:rsid w:val="0060763B"/>
    <w:rsid w:val="006077BC"/>
    <w:rsid w:val="00610691"/>
    <w:rsid w:val="0061110F"/>
    <w:rsid w:val="00612897"/>
    <w:rsid w:val="00612C81"/>
    <w:rsid w:val="00613286"/>
    <w:rsid w:val="00613ED2"/>
    <w:rsid w:val="006141FE"/>
    <w:rsid w:val="00614C12"/>
    <w:rsid w:val="00615487"/>
    <w:rsid w:val="00615936"/>
    <w:rsid w:val="00616339"/>
    <w:rsid w:val="00616AE3"/>
    <w:rsid w:val="00616C7C"/>
    <w:rsid w:val="00617639"/>
    <w:rsid w:val="006178DD"/>
    <w:rsid w:val="00620382"/>
    <w:rsid w:val="006210A2"/>
    <w:rsid w:val="0062148B"/>
    <w:rsid w:val="00621695"/>
    <w:rsid w:val="006218CC"/>
    <w:rsid w:val="00622340"/>
    <w:rsid w:val="0062261D"/>
    <w:rsid w:val="00623768"/>
    <w:rsid w:val="006249BE"/>
    <w:rsid w:val="00625D48"/>
    <w:rsid w:val="00625D99"/>
    <w:rsid w:val="00626757"/>
    <w:rsid w:val="00627C54"/>
    <w:rsid w:val="00627ECE"/>
    <w:rsid w:val="006317D2"/>
    <w:rsid w:val="00631DD6"/>
    <w:rsid w:val="0063231A"/>
    <w:rsid w:val="0063257A"/>
    <w:rsid w:val="0063261C"/>
    <w:rsid w:val="00632C0C"/>
    <w:rsid w:val="00634854"/>
    <w:rsid w:val="00634A2A"/>
    <w:rsid w:val="00635414"/>
    <w:rsid w:val="0063542E"/>
    <w:rsid w:val="006375C8"/>
    <w:rsid w:val="006379B1"/>
    <w:rsid w:val="00640317"/>
    <w:rsid w:val="0064093D"/>
    <w:rsid w:val="00641CC0"/>
    <w:rsid w:val="00642EA3"/>
    <w:rsid w:val="00643D9E"/>
    <w:rsid w:val="00644316"/>
    <w:rsid w:val="00645250"/>
    <w:rsid w:val="00645E18"/>
    <w:rsid w:val="00646F4A"/>
    <w:rsid w:val="00647F2D"/>
    <w:rsid w:val="00650B6E"/>
    <w:rsid w:val="00654F2E"/>
    <w:rsid w:val="006553AB"/>
    <w:rsid w:val="00655866"/>
    <w:rsid w:val="0065686D"/>
    <w:rsid w:val="006576AA"/>
    <w:rsid w:val="006605FB"/>
    <w:rsid w:val="00660C8A"/>
    <w:rsid w:val="00661499"/>
    <w:rsid w:val="006617EB"/>
    <w:rsid w:val="00661C9F"/>
    <w:rsid w:val="00662155"/>
    <w:rsid w:val="00662BFC"/>
    <w:rsid w:val="00662EFF"/>
    <w:rsid w:val="006632AD"/>
    <w:rsid w:val="006638DA"/>
    <w:rsid w:val="00666206"/>
    <w:rsid w:val="006670CB"/>
    <w:rsid w:val="00667261"/>
    <w:rsid w:val="0066775D"/>
    <w:rsid w:val="00667E1D"/>
    <w:rsid w:val="006705B8"/>
    <w:rsid w:val="0067086E"/>
    <w:rsid w:val="0067132A"/>
    <w:rsid w:val="00672E0E"/>
    <w:rsid w:val="0067364F"/>
    <w:rsid w:val="00673EEC"/>
    <w:rsid w:val="00674E97"/>
    <w:rsid w:val="00676510"/>
    <w:rsid w:val="00676597"/>
    <w:rsid w:val="00676AAF"/>
    <w:rsid w:val="0067741B"/>
    <w:rsid w:val="006779A4"/>
    <w:rsid w:val="0068005D"/>
    <w:rsid w:val="00685358"/>
    <w:rsid w:val="006860DC"/>
    <w:rsid w:val="00686858"/>
    <w:rsid w:val="006868A5"/>
    <w:rsid w:val="006902E7"/>
    <w:rsid w:val="00690A43"/>
    <w:rsid w:val="00690F56"/>
    <w:rsid w:val="00691BEF"/>
    <w:rsid w:val="00692440"/>
    <w:rsid w:val="00692621"/>
    <w:rsid w:val="00692868"/>
    <w:rsid w:val="00692E14"/>
    <w:rsid w:val="00693A2F"/>
    <w:rsid w:val="0069440D"/>
    <w:rsid w:val="006968FD"/>
    <w:rsid w:val="00697376"/>
    <w:rsid w:val="00697A37"/>
    <w:rsid w:val="006A01AB"/>
    <w:rsid w:val="006A02F9"/>
    <w:rsid w:val="006A0905"/>
    <w:rsid w:val="006A09FB"/>
    <w:rsid w:val="006A0CDD"/>
    <w:rsid w:val="006A187C"/>
    <w:rsid w:val="006A1916"/>
    <w:rsid w:val="006A19C9"/>
    <w:rsid w:val="006A2BD1"/>
    <w:rsid w:val="006A3463"/>
    <w:rsid w:val="006A35C4"/>
    <w:rsid w:val="006A4255"/>
    <w:rsid w:val="006A4991"/>
    <w:rsid w:val="006A521C"/>
    <w:rsid w:val="006A52B3"/>
    <w:rsid w:val="006A52BF"/>
    <w:rsid w:val="006A5A57"/>
    <w:rsid w:val="006A5F9A"/>
    <w:rsid w:val="006A6284"/>
    <w:rsid w:val="006B0B6D"/>
    <w:rsid w:val="006B0C87"/>
    <w:rsid w:val="006B0D29"/>
    <w:rsid w:val="006B128A"/>
    <w:rsid w:val="006B320A"/>
    <w:rsid w:val="006B3D2E"/>
    <w:rsid w:val="006B5143"/>
    <w:rsid w:val="006B6A35"/>
    <w:rsid w:val="006B7504"/>
    <w:rsid w:val="006B7DEF"/>
    <w:rsid w:val="006C07EB"/>
    <w:rsid w:val="006C0FAC"/>
    <w:rsid w:val="006C12A1"/>
    <w:rsid w:val="006C16D8"/>
    <w:rsid w:val="006C19AC"/>
    <w:rsid w:val="006C4BC0"/>
    <w:rsid w:val="006C539B"/>
    <w:rsid w:val="006C5B32"/>
    <w:rsid w:val="006C74F9"/>
    <w:rsid w:val="006C7A0C"/>
    <w:rsid w:val="006D05CE"/>
    <w:rsid w:val="006D0613"/>
    <w:rsid w:val="006D2A48"/>
    <w:rsid w:val="006D3DED"/>
    <w:rsid w:val="006D4EA7"/>
    <w:rsid w:val="006D4EDC"/>
    <w:rsid w:val="006D5A8D"/>
    <w:rsid w:val="006D7D75"/>
    <w:rsid w:val="006E00F5"/>
    <w:rsid w:val="006E164E"/>
    <w:rsid w:val="006E173E"/>
    <w:rsid w:val="006E1C71"/>
    <w:rsid w:val="006E1DC9"/>
    <w:rsid w:val="006E2798"/>
    <w:rsid w:val="006E2EBF"/>
    <w:rsid w:val="006E3763"/>
    <w:rsid w:val="006E3AE7"/>
    <w:rsid w:val="006E41F6"/>
    <w:rsid w:val="006E4FF2"/>
    <w:rsid w:val="006E5DFA"/>
    <w:rsid w:val="006E65D4"/>
    <w:rsid w:val="006E6C7A"/>
    <w:rsid w:val="006E78DF"/>
    <w:rsid w:val="006F02BF"/>
    <w:rsid w:val="006F13A4"/>
    <w:rsid w:val="006F3129"/>
    <w:rsid w:val="006F3DA8"/>
    <w:rsid w:val="006F48D4"/>
    <w:rsid w:val="006F49D3"/>
    <w:rsid w:val="006F509D"/>
    <w:rsid w:val="006F5A0B"/>
    <w:rsid w:val="006F6E0B"/>
    <w:rsid w:val="00700175"/>
    <w:rsid w:val="00700432"/>
    <w:rsid w:val="0070128F"/>
    <w:rsid w:val="00701DDE"/>
    <w:rsid w:val="007029D6"/>
    <w:rsid w:val="00703B57"/>
    <w:rsid w:val="0070404A"/>
    <w:rsid w:val="007045E0"/>
    <w:rsid w:val="007047FE"/>
    <w:rsid w:val="007049A2"/>
    <w:rsid w:val="00705E6C"/>
    <w:rsid w:val="00705F40"/>
    <w:rsid w:val="0070743C"/>
    <w:rsid w:val="00707DB0"/>
    <w:rsid w:val="00710657"/>
    <w:rsid w:val="007123D1"/>
    <w:rsid w:val="00712583"/>
    <w:rsid w:val="007125B4"/>
    <w:rsid w:val="007127F2"/>
    <w:rsid w:val="00712867"/>
    <w:rsid w:val="00713958"/>
    <w:rsid w:val="0071453F"/>
    <w:rsid w:val="00714B61"/>
    <w:rsid w:val="0071542E"/>
    <w:rsid w:val="0071697A"/>
    <w:rsid w:val="007179DB"/>
    <w:rsid w:val="0072121C"/>
    <w:rsid w:val="00723FB2"/>
    <w:rsid w:val="007247AF"/>
    <w:rsid w:val="00725A4A"/>
    <w:rsid w:val="00727313"/>
    <w:rsid w:val="00727F63"/>
    <w:rsid w:val="00731227"/>
    <w:rsid w:val="00732284"/>
    <w:rsid w:val="0073267B"/>
    <w:rsid w:val="00732B5F"/>
    <w:rsid w:val="007337D5"/>
    <w:rsid w:val="00733B48"/>
    <w:rsid w:val="00733C85"/>
    <w:rsid w:val="00734E28"/>
    <w:rsid w:val="00735875"/>
    <w:rsid w:val="007359CA"/>
    <w:rsid w:val="00735DA2"/>
    <w:rsid w:val="00735F92"/>
    <w:rsid w:val="00736D41"/>
    <w:rsid w:val="00736EDD"/>
    <w:rsid w:val="00737131"/>
    <w:rsid w:val="00740BA0"/>
    <w:rsid w:val="00741EE5"/>
    <w:rsid w:val="007421DA"/>
    <w:rsid w:val="00742808"/>
    <w:rsid w:val="007439FB"/>
    <w:rsid w:val="00747F8E"/>
    <w:rsid w:val="007504F7"/>
    <w:rsid w:val="00750604"/>
    <w:rsid w:val="0075080D"/>
    <w:rsid w:val="007512AC"/>
    <w:rsid w:val="00751412"/>
    <w:rsid w:val="00751B80"/>
    <w:rsid w:val="0075227C"/>
    <w:rsid w:val="00752E63"/>
    <w:rsid w:val="00753EEE"/>
    <w:rsid w:val="00753F3A"/>
    <w:rsid w:val="00754761"/>
    <w:rsid w:val="00754851"/>
    <w:rsid w:val="00755C76"/>
    <w:rsid w:val="007605F0"/>
    <w:rsid w:val="007625D0"/>
    <w:rsid w:val="0076260A"/>
    <w:rsid w:val="00763897"/>
    <w:rsid w:val="007638D2"/>
    <w:rsid w:val="00763C03"/>
    <w:rsid w:val="00765470"/>
    <w:rsid w:val="00765A6C"/>
    <w:rsid w:val="00766BD0"/>
    <w:rsid w:val="007675FB"/>
    <w:rsid w:val="00767CD4"/>
    <w:rsid w:val="00767F3C"/>
    <w:rsid w:val="0077084B"/>
    <w:rsid w:val="00770916"/>
    <w:rsid w:val="00771BA0"/>
    <w:rsid w:val="007721E2"/>
    <w:rsid w:val="007730E6"/>
    <w:rsid w:val="0077347A"/>
    <w:rsid w:val="00773FBE"/>
    <w:rsid w:val="00774029"/>
    <w:rsid w:val="00775597"/>
    <w:rsid w:val="0077648D"/>
    <w:rsid w:val="007769D7"/>
    <w:rsid w:val="00776E84"/>
    <w:rsid w:val="007800EB"/>
    <w:rsid w:val="0078085E"/>
    <w:rsid w:val="007808E1"/>
    <w:rsid w:val="007815D5"/>
    <w:rsid w:val="007817C5"/>
    <w:rsid w:val="00781934"/>
    <w:rsid w:val="00781C2C"/>
    <w:rsid w:val="00781DC4"/>
    <w:rsid w:val="007826FA"/>
    <w:rsid w:val="00783180"/>
    <w:rsid w:val="007837AE"/>
    <w:rsid w:val="007843CA"/>
    <w:rsid w:val="00785B60"/>
    <w:rsid w:val="00786125"/>
    <w:rsid w:val="00787212"/>
    <w:rsid w:val="007875A7"/>
    <w:rsid w:val="0079219E"/>
    <w:rsid w:val="00793248"/>
    <w:rsid w:val="0079474C"/>
    <w:rsid w:val="007949D4"/>
    <w:rsid w:val="0079587A"/>
    <w:rsid w:val="007959CB"/>
    <w:rsid w:val="00797175"/>
    <w:rsid w:val="0079718E"/>
    <w:rsid w:val="0079EBDA"/>
    <w:rsid w:val="007A0E92"/>
    <w:rsid w:val="007A13C1"/>
    <w:rsid w:val="007A2FB8"/>
    <w:rsid w:val="007A2FFC"/>
    <w:rsid w:val="007A4624"/>
    <w:rsid w:val="007A5561"/>
    <w:rsid w:val="007A573E"/>
    <w:rsid w:val="007A67A4"/>
    <w:rsid w:val="007B0217"/>
    <w:rsid w:val="007B0802"/>
    <w:rsid w:val="007B1D40"/>
    <w:rsid w:val="007B210B"/>
    <w:rsid w:val="007B29A9"/>
    <w:rsid w:val="007B494D"/>
    <w:rsid w:val="007B7FDD"/>
    <w:rsid w:val="007C233A"/>
    <w:rsid w:val="007C2533"/>
    <w:rsid w:val="007C35CB"/>
    <w:rsid w:val="007C3CFC"/>
    <w:rsid w:val="007C3E23"/>
    <w:rsid w:val="007C447E"/>
    <w:rsid w:val="007C569B"/>
    <w:rsid w:val="007C5EB5"/>
    <w:rsid w:val="007C6F0D"/>
    <w:rsid w:val="007D038D"/>
    <w:rsid w:val="007D05D8"/>
    <w:rsid w:val="007D1ACB"/>
    <w:rsid w:val="007D1B1A"/>
    <w:rsid w:val="007D30FE"/>
    <w:rsid w:val="007D3E30"/>
    <w:rsid w:val="007D47F3"/>
    <w:rsid w:val="007D5730"/>
    <w:rsid w:val="007D6511"/>
    <w:rsid w:val="007D6C79"/>
    <w:rsid w:val="007D70ED"/>
    <w:rsid w:val="007D7E1A"/>
    <w:rsid w:val="007E0CE5"/>
    <w:rsid w:val="007E32FB"/>
    <w:rsid w:val="007E3651"/>
    <w:rsid w:val="007E3773"/>
    <w:rsid w:val="007E4328"/>
    <w:rsid w:val="007E46C7"/>
    <w:rsid w:val="007E5387"/>
    <w:rsid w:val="007E65BA"/>
    <w:rsid w:val="007E6E12"/>
    <w:rsid w:val="007F0752"/>
    <w:rsid w:val="007F1F7B"/>
    <w:rsid w:val="007F2CBD"/>
    <w:rsid w:val="007F3185"/>
    <w:rsid w:val="007F31F2"/>
    <w:rsid w:val="007F3B85"/>
    <w:rsid w:val="007F6BF6"/>
    <w:rsid w:val="007F6D17"/>
    <w:rsid w:val="007F6D4A"/>
    <w:rsid w:val="007F7EE0"/>
    <w:rsid w:val="00800A70"/>
    <w:rsid w:val="00803300"/>
    <w:rsid w:val="00803FA3"/>
    <w:rsid w:val="0080414A"/>
    <w:rsid w:val="0080419C"/>
    <w:rsid w:val="00804E5A"/>
    <w:rsid w:val="00805C30"/>
    <w:rsid w:val="00806686"/>
    <w:rsid w:val="00806F41"/>
    <w:rsid w:val="0080747C"/>
    <w:rsid w:val="00807AB9"/>
    <w:rsid w:val="00807D41"/>
    <w:rsid w:val="00810250"/>
    <w:rsid w:val="008128D3"/>
    <w:rsid w:val="00812D31"/>
    <w:rsid w:val="00812FDD"/>
    <w:rsid w:val="008140A1"/>
    <w:rsid w:val="008149D0"/>
    <w:rsid w:val="008152A4"/>
    <w:rsid w:val="008153E7"/>
    <w:rsid w:val="00815C42"/>
    <w:rsid w:val="0081758D"/>
    <w:rsid w:val="00821031"/>
    <w:rsid w:val="008210DC"/>
    <w:rsid w:val="00822A5F"/>
    <w:rsid w:val="00823671"/>
    <w:rsid w:val="0082397D"/>
    <w:rsid w:val="00823AB3"/>
    <w:rsid w:val="0082489C"/>
    <w:rsid w:val="00824ACF"/>
    <w:rsid w:val="0082539A"/>
    <w:rsid w:val="008259CD"/>
    <w:rsid w:val="00826035"/>
    <w:rsid w:val="008265FB"/>
    <w:rsid w:val="00831076"/>
    <w:rsid w:val="008313D6"/>
    <w:rsid w:val="00834819"/>
    <w:rsid w:val="00834931"/>
    <w:rsid w:val="00834A23"/>
    <w:rsid w:val="00834D36"/>
    <w:rsid w:val="00834D90"/>
    <w:rsid w:val="0083555B"/>
    <w:rsid w:val="00836E51"/>
    <w:rsid w:val="008413A3"/>
    <w:rsid w:val="00841BEE"/>
    <w:rsid w:val="0084287D"/>
    <w:rsid w:val="00842F30"/>
    <w:rsid w:val="00843634"/>
    <w:rsid w:val="00844E28"/>
    <w:rsid w:val="00845729"/>
    <w:rsid w:val="00847268"/>
    <w:rsid w:val="00847AAB"/>
    <w:rsid w:val="008518CA"/>
    <w:rsid w:val="008520FE"/>
    <w:rsid w:val="00853084"/>
    <w:rsid w:val="008541FC"/>
    <w:rsid w:val="00854378"/>
    <w:rsid w:val="0085490E"/>
    <w:rsid w:val="00855F84"/>
    <w:rsid w:val="00856B05"/>
    <w:rsid w:val="0085701D"/>
    <w:rsid w:val="00857AC3"/>
    <w:rsid w:val="0086077E"/>
    <w:rsid w:val="0086134A"/>
    <w:rsid w:val="008634C0"/>
    <w:rsid w:val="00863FE4"/>
    <w:rsid w:val="0086408E"/>
    <w:rsid w:val="008645BB"/>
    <w:rsid w:val="00865328"/>
    <w:rsid w:val="00865ECC"/>
    <w:rsid w:val="00866ABF"/>
    <w:rsid w:val="0086778F"/>
    <w:rsid w:val="00867D11"/>
    <w:rsid w:val="00870489"/>
    <w:rsid w:val="008704C0"/>
    <w:rsid w:val="0087164A"/>
    <w:rsid w:val="00872A34"/>
    <w:rsid w:val="0087468E"/>
    <w:rsid w:val="00875E72"/>
    <w:rsid w:val="00877B83"/>
    <w:rsid w:val="008803B1"/>
    <w:rsid w:val="00880A4F"/>
    <w:rsid w:val="00881B70"/>
    <w:rsid w:val="00881E70"/>
    <w:rsid w:val="00882BAE"/>
    <w:rsid w:val="00883EC8"/>
    <w:rsid w:val="008840FA"/>
    <w:rsid w:val="0088549E"/>
    <w:rsid w:val="00885D79"/>
    <w:rsid w:val="008878BE"/>
    <w:rsid w:val="008927FD"/>
    <w:rsid w:val="00892855"/>
    <w:rsid w:val="00892872"/>
    <w:rsid w:val="00892ED3"/>
    <w:rsid w:val="008935AB"/>
    <w:rsid w:val="00893A01"/>
    <w:rsid w:val="0089525A"/>
    <w:rsid w:val="008958FE"/>
    <w:rsid w:val="00895C62"/>
    <w:rsid w:val="00895D98"/>
    <w:rsid w:val="00896437"/>
    <w:rsid w:val="008969B1"/>
    <w:rsid w:val="00897A29"/>
    <w:rsid w:val="00897D29"/>
    <w:rsid w:val="008A0D9B"/>
    <w:rsid w:val="008A1C78"/>
    <w:rsid w:val="008A2D31"/>
    <w:rsid w:val="008A3721"/>
    <w:rsid w:val="008A504E"/>
    <w:rsid w:val="008A59FB"/>
    <w:rsid w:val="008A7FA7"/>
    <w:rsid w:val="008B0A72"/>
    <w:rsid w:val="008B0BCA"/>
    <w:rsid w:val="008B0F9C"/>
    <w:rsid w:val="008B1C0C"/>
    <w:rsid w:val="008B1DC6"/>
    <w:rsid w:val="008B2571"/>
    <w:rsid w:val="008B29DB"/>
    <w:rsid w:val="008B38BE"/>
    <w:rsid w:val="008B45F7"/>
    <w:rsid w:val="008B596E"/>
    <w:rsid w:val="008B6822"/>
    <w:rsid w:val="008B6BB3"/>
    <w:rsid w:val="008B6C09"/>
    <w:rsid w:val="008B6C5A"/>
    <w:rsid w:val="008B778A"/>
    <w:rsid w:val="008C0023"/>
    <w:rsid w:val="008C0921"/>
    <w:rsid w:val="008C0A70"/>
    <w:rsid w:val="008C22CD"/>
    <w:rsid w:val="008C264B"/>
    <w:rsid w:val="008C2AB5"/>
    <w:rsid w:val="008C3817"/>
    <w:rsid w:val="008C48B3"/>
    <w:rsid w:val="008C498C"/>
    <w:rsid w:val="008C52AB"/>
    <w:rsid w:val="008C58F6"/>
    <w:rsid w:val="008C6C74"/>
    <w:rsid w:val="008C734F"/>
    <w:rsid w:val="008C7CA7"/>
    <w:rsid w:val="008C7E58"/>
    <w:rsid w:val="008D059F"/>
    <w:rsid w:val="008D0BCB"/>
    <w:rsid w:val="008D0F04"/>
    <w:rsid w:val="008D400D"/>
    <w:rsid w:val="008D4169"/>
    <w:rsid w:val="008D4BC0"/>
    <w:rsid w:val="008D4CA4"/>
    <w:rsid w:val="008D517A"/>
    <w:rsid w:val="008D5D3C"/>
    <w:rsid w:val="008D6BAB"/>
    <w:rsid w:val="008D6D6C"/>
    <w:rsid w:val="008D79E7"/>
    <w:rsid w:val="008E0464"/>
    <w:rsid w:val="008E427A"/>
    <w:rsid w:val="008E568F"/>
    <w:rsid w:val="008E599E"/>
    <w:rsid w:val="008E615E"/>
    <w:rsid w:val="008E7ECA"/>
    <w:rsid w:val="008F15C2"/>
    <w:rsid w:val="008F1792"/>
    <w:rsid w:val="008F2262"/>
    <w:rsid w:val="008F24A0"/>
    <w:rsid w:val="008F2511"/>
    <w:rsid w:val="008F28D6"/>
    <w:rsid w:val="008F366F"/>
    <w:rsid w:val="008F38FB"/>
    <w:rsid w:val="008F526B"/>
    <w:rsid w:val="008F5306"/>
    <w:rsid w:val="008F5F72"/>
    <w:rsid w:val="008F6D00"/>
    <w:rsid w:val="008F786B"/>
    <w:rsid w:val="008F7896"/>
    <w:rsid w:val="008F78EA"/>
    <w:rsid w:val="009009D4"/>
    <w:rsid w:val="009015E6"/>
    <w:rsid w:val="009029EC"/>
    <w:rsid w:val="0090321A"/>
    <w:rsid w:val="00903DFF"/>
    <w:rsid w:val="00904E35"/>
    <w:rsid w:val="009054C3"/>
    <w:rsid w:val="00905923"/>
    <w:rsid w:val="00905E0E"/>
    <w:rsid w:val="0090671E"/>
    <w:rsid w:val="00906DFB"/>
    <w:rsid w:val="0090770A"/>
    <w:rsid w:val="00907974"/>
    <w:rsid w:val="00912239"/>
    <w:rsid w:val="00912B85"/>
    <w:rsid w:val="00912D96"/>
    <w:rsid w:val="00913360"/>
    <w:rsid w:val="00913D0D"/>
    <w:rsid w:val="00914CB3"/>
    <w:rsid w:val="00915B64"/>
    <w:rsid w:val="00916B58"/>
    <w:rsid w:val="009173A2"/>
    <w:rsid w:val="00917E34"/>
    <w:rsid w:val="00920ED1"/>
    <w:rsid w:val="0092100B"/>
    <w:rsid w:val="00921377"/>
    <w:rsid w:val="0092145A"/>
    <w:rsid w:val="0092170E"/>
    <w:rsid w:val="00922B36"/>
    <w:rsid w:val="00922FC3"/>
    <w:rsid w:val="0092302E"/>
    <w:rsid w:val="0092436C"/>
    <w:rsid w:val="00926471"/>
    <w:rsid w:val="00927FEE"/>
    <w:rsid w:val="00930170"/>
    <w:rsid w:val="009306E2"/>
    <w:rsid w:val="00930F94"/>
    <w:rsid w:val="0093168F"/>
    <w:rsid w:val="0093234E"/>
    <w:rsid w:val="0093281B"/>
    <w:rsid w:val="00932C24"/>
    <w:rsid w:val="009342FF"/>
    <w:rsid w:val="0093484E"/>
    <w:rsid w:val="00934C50"/>
    <w:rsid w:val="0093512F"/>
    <w:rsid w:val="00936CE4"/>
    <w:rsid w:val="00937494"/>
    <w:rsid w:val="00940532"/>
    <w:rsid w:val="00940AA0"/>
    <w:rsid w:val="00941153"/>
    <w:rsid w:val="0094227E"/>
    <w:rsid w:val="00943D82"/>
    <w:rsid w:val="00943DB1"/>
    <w:rsid w:val="0094497F"/>
    <w:rsid w:val="00944B08"/>
    <w:rsid w:val="0094580A"/>
    <w:rsid w:val="00945BDC"/>
    <w:rsid w:val="00946AE3"/>
    <w:rsid w:val="00947AB1"/>
    <w:rsid w:val="00947B1E"/>
    <w:rsid w:val="0094EC31"/>
    <w:rsid w:val="0095053C"/>
    <w:rsid w:val="0095107E"/>
    <w:rsid w:val="00951985"/>
    <w:rsid w:val="009526C2"/>
    <w:rsid w:val="00953789"/>
    <w:rsid w:val="00953A27"/>
    <w:rsid w:val="00961409"/>
    <w:rsid w:val="0096168E"/>
    <w:rsid w:val="009618C9"/>
    <w:rsid w:val="00961F4F"/>
    <w:rsid w:val="00962115"/>
    <w:rsid w:val="0096349E"/>
    <w:rsid w:val="0096384C"/>
    <w:rsid w:val="00965045"/>
    <w:rsid w:val="009660CB"/>
    <w:rsid w:val="00970622"/>
    <w:rsid w:val="00970653"/>
    <w:rsid w:val="00971021"/>
    <w:rsid w:val="009711EC"/>
    <w:rsid w:val="00971D06"/>
    <w:rsid w:val="0097349C"/>
    <w:rsid w:val="009734AC"/>
    <w:rsid w:val="009737E0"/>
    <w:rsid w:val="009743B3"/>
    <w:rsid w:val="00975DDF"/>
    <w:rsid w:val="00976111"/>
    <w:rsid w:val="00977301"/>
    <w:rsid w:val="009773DF"/>
    <w:rsid w:val="009775A8"/>
    <w:rsid w:val="00977763"/>
    <w:rsid w:val="00977A61"/>
    <w:rsid w:val="0098001C"/>
    <w:rsid w:val="00980532"/>
    <w:rsid w:val="00980A2C"/>
    <w:rsid w:val="00982C07"/>
    <w:rsid w:val="00983F63"/>
    <w:rsid w:val="009850D9"/>
    <w:rsid w:val="00985CB6"/>
    <w:rsid w:val="00985CFD"/>
    <w:rsid w:val="0098663F"/>
    <w:rsid w:val="00986832"/>
    <w:rsid w:val="00987214"/>
    <w:rsid w:val="00990720"/>
    <w:rsid w:val="00990C6B"/>
    <w:rsid w:val="00991035"/>
    <w:rsid w:val="0099151A"/>
    <w:rsid w:val="00992512"/>
    <w:rsid w:val="009927EA"/>
    <w:rsid w:val="00993218"/>
    <w:rsid w:val="00993DBC"/>
    <w:rsid w:val="0099542F"/>
    <w:rsid w:val="009954B6"/>
    <w:rsid w:val="009968BA"/>
    <w:rsid w:val="00996AEB"/>
    <w:rsid w:val="0099728A"/>
    <w:rsid w:val="00997925"/>
    <w:rsid w:val="00997CF1"/>
    <w:rsid w:val="009A10AB"/>
    <w:rsid w:val="009A1999"/>
    <w:rsid w:val="009A2BBF"/>
    <w:rsid w:val="009A30BA"/>
    <w:rsid w:val="009A3361"/>
    <w:rsid w:val="009A348C"/>
    <w:rsid w:val="009A4577"/>
    <w:rsid w:val="009A4AFA"/>
    <w:rsid w:val="009A5C5B"/>
    <w:rsid w:val="009A5F97"/>
    <w:rsid w:val="009A7775"/>
    <w:rsid w:val="009A7916"/>
    <w:rsid w:val="009A7A42"/>
    <w:rsid w:val="009B1451"/>
    <w:rsid w:val="009B1FD2"/>
    <w:rsid w:val="009B2140"/>
    <w:rsid w:val="009B2471"/>
    <w:rsid w:val="009B2F4C"/>
    <w:rsid w:val="009B41BE"/>
    <w:rsid w:val="009B5653"/>
    <w:rsid w:val="009B651B"/>
    <w:rsid w:val="009B6904"/>
    <w:rsid w:val="009B6B8E"/>
    <w:rsid w:val="009B6CCB"/>
    <w:rsid w:val="009B7DB0"/>
    <w:rsid w:val="009C0E50"/>
    <w:rsid w:val="009C592F"/>
    <w:rsid w:val="009C62D1"/>
    <w:rsid w:val="009C795D"/>
    <w:rsid w:val="009C7FAC"/>
    <w:rsid w:val="009D13C3"/>
    <w:rsid w:val="009D1AE3"/>
    <w:rsid w:val="009D1AF5"/>
    <w:rsid w:val="009D1DB6"/>
    <w:rsid w:val="009D1E2B"/>
    <w:rsid w:val="009D2A65"/>
    <w:rsid w:val="009D3539"/>
    <w:rsid w:val="009D38BD"/>
    <w:rsid w:val="009D3DA9"/>
    <w:rsid w:val="009D5175"/>
    <w:rsid w:val="009D532B"/>
    <w:rsid w:val="009D60A6"/>
    <w:rsid w:val="009D650C"/>
    <w:rsid w:val="009D7BA3"/>
    <w:rsid w:val="009E0EF4"/>
    <w:rsid w:val="009E2BB9"/>
    <w:rsid w:val="009E342A"/>
    <w:rsid w:val="009E62DA"/>
    <w:rsid w:val="009E6C8A"/>
    <w:rsid w:val="009E6F02"/>
    <w:rsid w:val="009E70D3"/>
    <w:rsid w:val="009F1485"/>
    <w:rsid w:val="009F220C"/>
    <w:rsid w:val="009F24F1"/>
    <w:rsid w:val="009F308D"/>
    <w:rsid w:val="009F3342"/>
    <w:rsid w:val="009F52B0"/>
    <w:rsid w:val="009F5C9C"/>
    <w:rsid w:val="009F6004"/>
    <w:rsid w:val="009F66B6"/>
    <w:rsid w:val="009F6882"/>
    <w:rsid w:val="009F6A33"/>
    <w:rsid w:val="009F6AD3"/>
    <w:rsid w:val="009F79D2"/>
    <w:rsid w:val="009F7A86"/>
    <w:rsid w:val="00A001D5"/>
    <w:rsid w:val="00A00661"/>
    <w:rsid w:val="00A00F20"/>
    <w:rsid w:val="00A010BD"/>
    <w:rsid w:val="00A01107"/>
    <w:rsid w:val="00A0334A"/>
    <w:rsid w:val="00A045F5"/>
    <w:rsid w:val="00A05326"/>
    <w:rsid w:val="00A05582"/>
    <w:rsid w:val="00A05E8E"/>
    <w:rsid w:val="00A06D27"/>
    <w:rsid w:val="00A0719A"/>
    <w:rsid w:val="00A07647"/>
    <w:rsid w:val="00A07681"/>
    <w:rsid w:val="00A11112"/>
    <w:rsid w:val="00A1193F"/>
    <w:rsid w:val="00A12CA3"/>
    <w:rsid w:val="00A155C8"/>
    <w:rsid w:val="00A155F6"/>
    <w:rsid w:val="00A16388"/>
    <w:rsid w:val="00A16487"/>
    <w:rsid w:val="00A16629"/>
    <w:rsid w:val="00A16A0B"/>
    <w:rsid w:val="00A16CF1"/>
    <w:rsid w:val="00A16F65"/>
    <w:rsid w:val="00A21011"/>
    <w:rsid w:val="00A22966"/>
    <w:rsid w:val="00A2423B"/>
    <w:rsid w:val="00A25963"/>
    <w:rsid w:val="00A25C47"/>
    <w:rsid w:val="00A25F46"/>
    <w:rsid w:val="00A262DD"/>
    <w:rsid w:val="00A2659E"/>
    <w:rsid w:val="00A279F4"/>
    <w:rsid w:val="00A27AF4"/>
    <w:rsid w:val="00A30583"/>
    <w:rsid w:val="00A318F8"/>
    <w:rsid w:val="00A31F52"/>
    <w:rsid w:val="00A339AC"/>
    <w:rsid w:val="00A34B13"/>
    <w:rsid w:val="00A34FF3"/>
    <w:rsid w:val="00A3603B"/>
    <w:rsid w:val="00A36F3D"/>
    <w:rsid w:val="00A42376"/>
    <w:rsid w:val="00A43B9F"/>
    <w:rsid w:val="00A43D88"/>
    <w:rsid w:val="00A44144"/>
    <w:rsid w:val="00A455D4"/>
    <w:rsid w:val="00A45D5A"/>
    <w:rsid w:val="00A45E19"/>
    <w:rsid w:val="00A4645D"/>
    <w:rsid w:val="00A4796F"/>
    <w:rsid w:val="00A50DF6"/>
    <w:rsid w:val="00A52E2E"/>
    <w:rsid w:val="00A54EB3"/>
    <w:rsid w:val="00A55396"/>
    <w:rsid w:val="00A56C51"/>
    <w:rsid w:val="00A57118"/>
    <w:rsid w:val="00A5773C"/>
    <w:rsid w:val="00A579DB"/>
    <w:rsid w:val="00A57F09"/>
    <w:rsid w:val="00A608D8"/>
    <w:rsid w:val="00A612D4"/>
    <w:rsid w:val="00A61796"/>
    <w:rsid w:val="00A619EC"/>
    <w:rsid w:val="00A628E7"/>
    <w:rsid w:val="00A631C7"/>
    <w:rsid w:val="00A63701"/>
    <w:rsid w:val="00A63866"/>
    <w:rsid w:val="00A63DF5"/>
    <w:rsid w:val="00A641DA"/>
    <w:rsid w:val="00A64DB4"/>
    <w:rsid w:val="00A66453"/>
    <w:rsid w:val="00A67268"/>
    <w:rsid w:val="00A67DC9"/>
    <w:rsid w:val="00A72B38"/>
    <w:rsid w:val="00A7381A"/>
    <w:rsid w:val="00A73980"/>
    <w:rsid w:val="00A802FC"/>
    <w:rsid w:val="00A8423F"/>
    <w:rsid w:val="00A85638"/>
    <w:rsid w:val="00A85657"/>
    <w:rsid w:val="00A85C67"/>
    <w:rsid w:val="00A86AC5"/>
    <w:rsid w:val="00A9030C"/>
    <w:rsid w:val="00A90890"/>
    <w:rsid w:val="00A9291E"/>
    <w:rsid w:val="00A92BA0"/>
    <w:rsid w:val="00A92F95"/>
    <w:rsid w:val="00A941C2"/>
    <w:rsid w:val="00A94E5E"/>
    <w:rsid w:val="00A97B56"/>
    <w:rsid w:val="00AA03F4"/>
    <w:rsid w:val="00AA0F79"/>
    <w:rsid w:val="00AA124F"/>
    <w:rsid w:val="00AA1FE0"/>
    <w:rsid w:val="00AA2275"/>
    <w:rsid w:val="00AA531B"/>
    <w:rsid w:val="00AB0C1B"/>
    <w:rsid w:val="00AB0DA7"/>
    <w:rsid w:val="00AB0EB6"/>
    <w:rsid w:val="00AB1BAE"/>
    <w:rsid w:val="00AB1BE3"/>
    <w:rsid w:val="00AB20F2"/>
    <w:rsid w:val="00AB2580"/>
    <w:rsid w:val="00AB37C9"/>
    <w:rsid w:val="00AB42FE"/>
    <w:rsid w:val="00AB5083"/>
    <w:rsid w:val="00AB6805"/>
    <w:rsid w:val="00AB7011"/>
    <w:rsid w:val="00AC0316"/>
    <w:rsid w:val="00AC0492"/>
    <w:rsid w:val="00AC0CEB"/>
    <w:rsid w:val="00AC2B35"/>
    <w:rsid w:val="00AC2E65"/>
    <w:rsid w:val="00AC36D9"/>
    <w:rsid w:val="00AC6DC4"/>
    <w:rsid w:val="00AC71EB"/>
    <w:rsid w:val="00AC7AD6"/>
    <w:rsid w:val="00AC7F83"/>
    <w:rsid w:val="00AD0F40"/>
    <w:rsid w:val="00AD2261"/>
    <w:rsid w:val="00AD2447"/>
    <w:rsid w:val="00AD28E0"/>
    <w:rsid w:val="00AD368D"/>
    <w:rsid w:val="00AD42A6"/>
    <w:rsid w:val="00AD6042"/>
    <w:rsid w:val="00AD64D8"/>
    <w:rsid w:val="00AD68C6"/>
    <w:rsid w:val="00AD7C42"/>
    <w:rsid w:val="00AE03AE"/>
    <w:rsid w:val="00AE0725"/>
    <w:rsid w:val="00AE0801"/>
    <w:rsid w:val="00AE0A81"/>
    <w:rsid w:val="00AE0DBF"/>
    <w:rsid w:val="00AE1B7F"/>
    <w:rsid w:val="00AE2168"/>
    <w:rsid w:val="00AE25D7"/>
    <w:rsid w:val="00AE2AF2"/>
    <w:rsid w:val="00AE2D89"/>
    <w:rsid w:val="00AE3A18"/>
    <w:rsid w:val="00AE4AE6"/>
    <w:rsid w:val="00AE5823"/>
    <w:rsid w:val="00AE588E"/>
    <w:rsid w:val="00AE70FA"/>
    <w:rsid w:val="00AE7C69"/>
    <w:rsid w:val="00AE7F27"/>
    <w:rsid w:val="00AF0982"/>
    <w:rsid w:val="00AF10BA"/>
    <w:rsid w:val="00AF11F7"/>
    <w:rsid w:val="00AF304D"/>
    <w:rsid w:val="00AF3518"/>
    <w:rsid w:val="00AF3877"/>
    <w:rsid w:val="00AF7BB3"/>
    <w:rsid w:val="00AF7F4B"/>
    <w:rsid w:val="00B00451"/>
    <w:rsid w:val="00B00C5F"/>
    <w:rsid w:val="00B01304"/>
    <w:rsid w:val="00B01CB6"/>
    <w:rsid w:val="00B01CDB"/>
    <w:rsid w:val="00B020FE"/>
    <w:rsid w:val="00B03ADA"/>
    <w:rsid w:val="00B059A8"/>
    <w:rsid w:val="00B0741E"/>
    <w:rsid w:val="00B106A2"/>
    <w:rsid w:val="00B108EE"/>
    <w:rsid w:val="00B10C39"/>
    <w:rsid w:val="00B10DA4"/>
    <w:rsid w:val="00B1313A"/>
    <w:rsid w:val="00B13CCB"/>
    <w:rsid w:val="00B13ED7"/>
    <w:rsid w:val="00B14269"/>
    <w:rsid w:val="00B142F2"/>
    <w:rsid w:val="00B15B73"/>
    <w:rsid w:val="00B17060"/>
    <w:rsid w:val="00B206CB"/>
    <w:rsid w:val="00B20C26"/>
    <w:rsid w:val="00B238FA"/>
    <w:rsid w:val="00B24175"/>
    <w:rsid w:val="00B243B8"/>
    <w:rsid w:val="00B24EEC"/>
    <w:rsid w:val="00B25848"/>
    <w:rsid w:val="00B301A9"/>
    <w:rsid w:val="00B30B44"/>
    <w:rsid w:val="00B32DDE"/>
    <w:rsid w:val="00B342B3"/>
    <w:rsid w:val="00B34439"/>
    <w:rsid w:val="00B34677"/>
    <w:rsid w:val="00B35661"/>
    <w:rsid w:val="00B35D7D"/>
    <w:rsid w:val="00B3656B"/>
    <w:rsid w:val="00B411B1"/>
    <w:rsid w:val="00B41917"/>
    <w:rsid w:val="00B42913"/>
    <w:rsid w:val="00B43FFD"/>
    <w:rsid w:val="00B44820"/>
    <w:rsid w:val="00B45403"/>
    <w:rsid w:val="00B4712F"/>
    <w:rsid w:val="00B47C33"/>
    <w:rsid w:val="00B503CE"/>
    <w:rsid w:val="00B50D83"/>
    <w:rsid w:val="00B517C6"/>
    <w:rsid w:val="00B51C54"/>
    <w:rsid w:val="00B523FE"/>
    <w:rsid w:val="00B52A47"/>
    <w:rsid w:val="00B52B9A"/>
    <w:rsid w:val="00B52FAB"/>
    <w:rsid w:val="00B530A2"/>
    <w:rsid w:val="00B545FE"/>
    <w:rsid w:val="00B54966"/>
    <w:rsid w:val="00B54B3C"/>
    <w:rsid w:val="00B55170"/>
    <w:rsid w:val="00B55BED"/>
    <w:rsid w:val="00B566D9"/>
    <w:rsid w:val="00B604EE"/>
    <w:rsid w:val="00B60774"/>
    <w:rsid w:val="00B612BF"/>
    <w:rsid w:val="00B63382"/>
    <w:rsid w:val="00B63CCB"/>
    <w:rsid w:val="00B63FD4"/>
    <w:rsid w:val="00B65B49"/>
    <w:rsid w:val="00B666A3"/>
    <w:rsid w:val="00B66B29"/>
    <w:rsid w:val="00B67088"/>
    <w:rsid w:val="00B67296"/>
    <w:rsid w:val="00B67ED3"/>
    <w:rsid w:val="00B72BE0"/>
    <w:rsid w:val="00B73044"/>
    <w:rsid w:val="00B730E9"/>
    <w:rsid w:val="00B73AD1"/>
    <w:rsid w:val="00B73C87"/>
    <w:rsid w:val="00B753C1"/>
    <w:rsid w:val="00B772C3"/>
    <w:rsid w:val="00B77743"/>
    <w:rsid w:val="00B801CA"/>
    <w:rsid w:val="00B80485"/>
    <w:rsid w:val="00B82A3E"/>
    <w:rsid w:val="00B84171"/>
    <w:rsid w:val="00B842FA"/>
    <w:rsid w:val="00B84A66"/>
    <w:rsid w:val="00B86157"/>
    <w:rsid w:val="00B9100C"/>
    <w:rsid w:val="00B910CB"/>
    <w:rsid w:val="00B91FB3"/>
    <w:rsid w:val="00B92872"/>
    <w:rsid w:val="00B92E7D"/>
    <w:rsid w:val="00B9321A"/>
    <w:rsid w:val="00B936DD"/>
    <w:rsid w:val="00B93831"/>
    <w:rsid w:val="00B93CD4"/>
    <w:rsid w:val="00B93EAF"/>
    <w:rsid w:val="00B95D39"/>
    <w:rsid w:val="00B966A5"/>
    <w:rsid w:val="00B96DA6"/>
    <w:rsid w:val="00BA0815"/>
    <w:rsid w:val="00BA25D1"/>
    <w:rsid w:val="00BA2745"/>
    <w:rsid w:val="00BA28AA"/>
    <w:rsid w:val="00BA31EF"/>
    <w:rsid w:val="00BA4CA5"/>
    <w:rsid w:val="00BA5669"/>
    <w:rsid w:val="00BA5B6F"/>
    <w:rsid w:val="00BA5D0C"/>
    <w:rsid w:val="00BA626F"/>
    <w:rsid w:val="00BA6424"/>
    <w:rsid w:val="00BA6A89"/>
    <w:rsid w:val="00BB0826"/>
    <w:rsid w:val="00BB0D0B"/>
    <w:rsid w:val="00BB1B4E"/>
    <w:rsid w:val="00BB2960"/>
    <w:rsid w:val="00BB506F"/>
    <w:rsid w:val="00BB6F4C"/>
    <w:rsid w:val="00BB72E2"/>
    <w:rsid w:val="00BC051B"/>
    <w:rsid w:val="00BC1B04"/>
    <w:rsid w:val="00BC2E37"/>
    <w:rsid w:val="00BC2FFC"/>
    <w:rsid w:val="00BC318E"/>
    <w:rsid w:val="00BC5224"/>
    <w:rsid w:val="00BC5451"/>
    <w:rsid w:val="00BC5D75"/>
    <w:rsid w:val="00BC620E"/>
    <w:rsid w:val="00BC6B03"/>
    <w:rsid w:val="00BC71A2"/>
    <w:rsid w:val="00BC71A5"/>
    <w:rsid w:val="00BC7ACA"/>
    <w:rsid w:val="00BD1BEB"/>
    <w:rsid w:val="00BD1FAF"/>
    <w:rsid w:val="00BD25A3"/>
    <w:rsid w:val="00BD2761"/>
    <w:rsid w:val="00BD3F80"/>
    <w:rsid w:val="00BD5818"/>
    <w:rsid w:val="00BD6094"/>
    <w:rsid w:val="00BD65C0"/>
    <w:rsid w:val="00BD6963"/>
    <w:rsid w:val="00BE04F9"/>
    <w:rsid w:val="00BE08E5"/>
    <w:rsid w:val="00BE22AC"/>
    <w:rsid w:val="00BE27A2"/>
    <w:rsid w:val="00BE2BD5"/>
    <w:rsid w:val="00BE3028"/>
    <w:rsid w:val="00BE3C0E"/>
    <w:rsid w:val="00BE465B"/>
    <w:rsid w:val="00BE616C"/>
    <w:rsid w:val="00BE6CF1"/>
    <w:rsid w:val="00BE76E0"/>
    <w:rsid w:val="00BE7770"/>
    <w:rsid w:val="00BF05D4"/>
    <w:rsid w:val="00BF0CF1"/>
    <w:rsid w:val="00BF13F7"/>
    <w:rsid w:val="00BF1F2A"/>
    <w:rsid w:val="00BF21EF"/>
    <w:rsid w:val="00BF2308"/>
    <w:rsid w:val="00BF3193"/>
    <w:rsid w:val="00BF515F"/>
    <w:rsid w:val="00BF615B"/>
    <w:rsid w:val="00BF677F"/>
    <w:rsid w:val="00BF6D78"/>
    <w:rsid w:val="00BF70AF"/>
    <w:rsid w:val="00C00082"/>
    <w:rsid w:val="00C00ED0"/>
    <w:rsid w:val="00C012AD"/>
    <w:rsid w:val="00C0159C"/>
    <w:rsid w:val="00C0192B"/>
    <w:rsid w:val="00C02423"/>
    <w:rsid w:val="00C02424"/>
    <w:rsid w:val="00C025A2"/>
    <w:rsid w:val="00C025B7"/>
    <w:rsid w:val="00C0378E"/>
    <w:rsid w:val="00C04621"/>
    <w:rsid w:val="00C0479A"/>
    <w:rsid w:val="00C05926"/>
    <w:rsid w:val="00C11378"/>
    <w:rsid w:val="00C1255E"/>
    <w:rsid w:val="00C12BAF"/>
    <w:rsid w:val="00C14102"/>
    <w:rsid w:val="00C14D75"/>
    <w:rsid w:val="00C15A7D"/>
    <w:rsid w:val="00C2024E"/>
    <w:rsid w:val="00C208BA"/>
    <w:rsid w:val="00C209C9"/>
    <w:rsid w:val="00C21CD7"/>
    <w:rsid w:val="00C220F8"/>
    <w:rsid w:val="00C2222E"/>
    <w:rsid w:val="00C225F8"/>
    <w:rsid w:val="00C2266D"/>
    <w:rsid w:val="00C2292B"/>
    <w:rsid w:val="00C22BCF"/>
    <w:rsid w:val="00C22C32"/>
    <w:rsid w:val="00C23124"/>
    <w:rsid w:val="00C24AB3"/>
    <w:rsid w:val="00C25B4E"/>
    <w:rsid w:val="00C262E6"/>
    <w:rsid w:val="00C26D5E"/>
    <w:rsid w:val="00C27646"/>
    <w:rsid w:val="00C27EF2"/>
    <w:rsid w:val="00C30E19"/>
    <w:rsid w:val="00C30EB7"/>
    <w:rsid w:val="00C311E0"/>
    <w:rsid w:val="00C31650"/>
    <w:rsid w:val="00C3424C"/>
    <w:rsid w:val="00C34309"/>
    <w:rsid w:val="00C34742"/>
    <w:rsid w:val="00C34B22"/>
    <w:rsid w:val="00C36692"/>
    <w:rsid w:val="00C36A37"/>
    <w:rsid w:val="00C37A8E"/>
    <w:rsid w:val="00C37CDA"/>
    <w:rsid w:val="00C40A97"/>
    <w:rsid w:val="00C410BA"/>
    <w:rsid w:val="00C416DA"/>
    <w:rsid w:val="00C41782"/>
    <w:rsid w:val="00C4201C"/>
    <w:rsid w:val="00C4234E"/>
    <w:rsid w:val="00C42940"/>
    <w:rsid w:val="00C4454F"/>
    <w:rsid w:val="00C45F8B"/>
    <w:rsid w:val="00C475D0"/>
    <w:rsid w:val="00C477FA"/>
    <w:rsid w:val="00C479C8"/>
    <w:rsid w:val="00C50253"/>
    <w:rsid w:val="00C502D0"/>
    <w:rsid w:val="00C50A79"/>
    <w:rsid w:val="00C516B8"/>
    <w:rsid w:val="00C51F2D"/>
    <w:rsid w:val="00C54818"/>
    <w:rsid w:val="00C55C94"/>
    <w:rsid w:val="00C56A4F"/>
    <w:rsid w:val="00C571A2"/>
    <w:rsid w:val="00C573BE"/>
    <w:rsid w:val="00C573C7"/>
    <w:rsid w:val="00C57EB4"/>
    <w:rsid w:val="00C57EDE"/>
    <w:rsid w:val="00C60200"/>
    <w:rsid w:val="00C6094B"/>
    <w:rsid w:val="00C60C28"/>
    <w:rsid w:val="00C60D64"/>
    <w:rsid w:val="00C61658"/>
    <w:rsid w:val="00C62F7E"/>
    <w:rsid w:val="00C6434C"/>
    <w:rsid w:val="00C653B5"/>
    <w:rsid w:val="00C65A34"/>
    <w:rsid w:val="00C67C25"/>
    <w:rsid w:val="00C67DE1"/>
    <w:rsid w:val="00C67FF2"/>
    <w:rsid w:val="00C703E9"/>
    <w:rsid w:val="00C713F0"/>
    <w:rsid w:val="00C72568"/>
    <w:rsid w:val="00C73405"/>
    <w:rsid w:val="00C73999"/>
    <w:rsid w:val="00C73E25"/>
    <w:rsid w:val="00C74D0D"/>
    <w:rsid w:val="00C75A8E"/>
    <w:rsid w:val="00C7768F"/>
    <w:rsid w:val="00C80969"/>
    <w:rsid w:val="00C81413"/>
    <w:rsid w:val="00C81AD3"/>
    <w:rsid w:val="00C81B3D"/>
    <w:rsid w:val="00C825F8"/>
    <w:rsid w:val="00C82C84"/>
    <w:rsid w:val="00C83F22"/>
    <w:rsid w:val="00C83FBE"/>
    <w:rsid w:val="00C849C1"/>
    <w:rsid w:val="00C84EA3"/>
    <w:rsid w:val="00C851C9"/>
    <w:rsid w:val="00C867D2"/>
    <w:rsid w:val="00C87558"/>
    <w:rsid w:val="00C876FB"/>
    <w:rsid w:val="00C901CF"/>
    <w:rsid w:val="00C903CE"/>
    <w:rsid w:val="00C9175F"/>
    <w:rsid w:val="00C91826"/>
    <w:rsid w:val="00C920A1"/>
    <w:rsid w:val="00C946A9"/>
    <w:rsid w:val="00C94E75"/>
    <w:rsid w:val="00C95CE1"/>
    <w:rsid w:val="00C9637C"/>
    <w:rsid w:val="00C96E90"/>
    <w:rsid w:val="00C97BBA"/>
    <w:rsid w:val="00CA00AF"/>
    <w:rsid w:val="00CA03AC"/>
    <w:rsid w:val="00CA19D8"/>
    <w:rsid w:val="00CA2E20"/>
    <w:rsid w:val="00CA3B55"/>
    <w:rsid w:val="00CA4144"/>
    <w:rsid w:val="00CA482C"/>
    <w:rsid w:val="00CA6E22"/>
    <w:rsid w:val="00CA766D"/>
    <w:rsid w:val="00CA776E"/>
    <w:rsid w:val="00CB0001"/>
    <w:rsid w:val="00CB0162"/>
    <w:rsid w:val="00CB0197"/>
    <w:rsid w:val="00CB01E1"/>
    <w:rsid w:val="00CB107E"/>
    <w:rsid w:val="00CB2067"/>
    <w:rsid w:val="00CB2C42"/>
    <w:rsid w:val="00CB2D20"/>
    <w:rsid w:val="00CB4092"/>
    <w:rsid w:val="00CB4978"/>
    <w:rsid w:val="00CB4B75"/>
    <w:rsid w:val="00CB5393"/>
    <w:rsid w:val="00CB74F0"/>
    <w:rsid w:val="00CB752E"/>
    <w:rsid w:val="00CB759F"/>
    <w:rsid w:val="00CB7C43"/>
    <w:rsid w:val="00CC051B"/>
    <w:rsid w:val="00CC0C83"/>
    <w:rsid w:val="00CC41D9"/>
    <w:rsid w:val="00CC4536"/>
    <w:rsid w:val="00CC5176"/>
    <w:rsid w:val="00CC5196"/>
    <w:rsid w:val="00CC52B8"/>
    <w:rsid w:val="00CC62B7"/>
    <w:rsid w:val="00CC62ED"/>
    <w:rsid w:val="00CC6A07"/>
    <w:rsid w:val="00CC6D7A"/>
    <w:rsid w:val="00CC956F"/>
    <w:rsid w:val="00CD07BF"/>
    <w:rsid w:val="00CD0C31"/>
    <w:rsid w:val="00CD21A0"/>
    <w:rsid w:val="00CD2730"/>
    <w:rsid w:val="00CD28E7"/>
    <w:rsid w:val="00CD3FB9"/>
    <w:rsid w:val="00CD4628"/>
    <w:rsid w:val="00CD5808"/>
    <w:rsid w:val="00CD5905"/>
    <w:rsid w:val="00CD5E8C"/>
    <w:rsid w:val="00CD6C0C"/>
    <w:rsid w:val="00CD6EC1"/>
    <w:rsid w:val="00CE2959"/>
    <w:rsid w:val="00CE3880"/>
    <w:rsid w:val="00CE3907"/>
    <w:rsid w:val="00CE3C3B"/>
    <w:rsid w:val="00CE4FC6"/>
    <w:rsid w:val="00CE57C0"/>
    <w:rsid w:val="00CE60EF"/>
    <w:rsid w:val="00CE672E"/>
    <w:rsid w:val="00CE778C"/>
    <w:rsid w:val="00CE77D1"/>
    <w:rsid w:val="00CE7AB8"/>
    <w:rsid w:val="00CF05A0"/>
    <w:rsid w:val="00CF0DC9"/>
    <w:rsid w:val="00CF13AA"/>
    <w:rsid w:val="00CF3346"/>
    <w:rsid w:val="00CF43F1"/>
    <w:rsid w:val="00CF6643"/>
    <w:rsid w:val="00D004D0"/>
    <w:rsid w:val="00D01AEF"/>
    <w:rsid w:val="00D0248C"/>
    <w:rsid w:val="00D02CBD"/>
    <w:rsid w:val="00D02ED6"/>
    <w:rsid w:val="00D033E0"/>
    <w:rsid w:val="00D05A46"/>
    <w:rsid w:val="00D0600D"/>
    <w:rsid w:val="00D0620E"/>
    <w:rsid w:val="00D06BA5"/>
    <w:rsid w:val="00D07412"/>
    <w:rsid w:val="00D07900"/>
    <w:rsid w:val="00D07CCF"/>
    <w:rsid w:val="00D10712"/>
    <w:rsid w:val="00D108EB"/>
    <w:rsid w:val="00D11FCC"/>
    <w:rsid w:val="00D126A4"/>
    <w:rsid w:val="00D12992"/>
    <w:rsid w:val="00D12BB1"/>
    <w:rsid w:val="00D12EB5"/>
    <w:rsid w:val="00D131F9"/>
    <w:rsid w:val="00D13611"/>
    <w:rsid w:val="00D139FF"/>
    <w:rsid w:val="00D17D76"/>
    <w:rsid w:val="00D201A5"/>
    <w:rsid w:val="00D2131F"/>
    <w:rsid w:val="00D216D0"/>
    <w:rsid w:val="00D21E51"/>
    <w:rsid w:val="00D23B8E"/>
    <w:rsid w:val="00D23F8F"/>
    <w:rsid w:val="00D2484C"/>
    <w:rsid w:val="00D25D21"/>
    <w:rsid w:val="00D302D4"/>
    <w:rsid w:val="00D30DB4"/>
    <w:rsid w:val="00D30DE7"/>
    <w:rsid w:val="00D31822"/>
    <w:rsid w:val="00D32788"/>
    <w:rsid w:val="00D332F4"/>
    <w:rsid w:val="00D33951"/>
    <w:rsid w:val="00D348FF"/>
    <w:rsid w:val="00D35737"/>
    <w:rsid w:val="00D36D74"/>
    <w:rsid w:val="00D36E7C"/>
    <w:rsid w:val="00D4193F"/>
    <w:rsid w:val="00D41B43"/>
    <w:rsid w:val="00D43019"/>
    <w:rsid w:val="00D4309A"/>
    <w:rsid w:val="00D434E1"/>
    <w:rsid w:val="00D44080"/>
    <w:rsid w:val="00D444C7"/>
    <w:rsid w:val="00D461D5"/>
    <w:rsid w:val="00D4670D"/>
    <w:rsid w:val="00D51805"/>
    <w:rsid w:val="00D51DF2"/>
    <w:rsid w:val="00D51EA0"/>
    <w:rsid w:val="00D5232B"/>
    <w:rsid w:val="00D523F3"/>
    <w:rsid w:val="00D52669"/>
    <w:rsid w:val="00D52A54"/>
    <w:rsid w:val="00D52A77"/>
    <w:rsid w:val="00D534E3"/>
    <w:rsid w:val="00D53BA8"/>
    <w:rsid w:val="00D54370"/>
    <w:rsid w:val="00D54A4E"/>
    <w:rsid w:val="00D54BA8"/>
    <w:rsid w:val="00D55C38"/>
    <w:rsid w:val="00D55F9F"/>
    <w:rsid w:val="00D55FD9"/>
    <w:rsid w:val="00D5626E"/>
    <w:rsid w:val="00D606D4"/>
    <w:rsid w:val="00D609E5"/>
    <w:rsid w:val="00D6229D"/>
    <w:rsid w:val="00D625D0"/>
    <w:rsid w:val="00D64805"/>
    <w:rsid w:val="00D64F20"/>
    <w:rsid w:val="00D651F0"/>
    <w:rsid w:val="00D653A9"/>
    <w:rsid w:val="00D66331"/>
    <w:rsid w:val="00D6670B"/>
    <w:rsid w:val="00D669BE"/>
    <w:rsid w:val="00D72550"/>
    <w:rsid w:val="00D72CD0"/>
    <w:rsid w:val="00D74533"/>
    <w:rsid w:val="00D7499B"/>
    <w:rsid w:val="00D7578E"/>
    <w:rsid w:val="00D75E43"/>
    <w:rsid w:val="00D76374"/>
    <w:rsid w:val="00D765E1"/>
    <w:rsid w:val="00D76E05"/>
    <w:rsid w:val="00D82359"/>
    <w:rsid w:val="00D82B98"/>
    <w:rsid w:val="00D831B5"/>
    <w:rsid w:val="00D85569"/>
    <w:rsid w:val="00D87245"/>
    <w:rsid w:val="00D87D47"/>
    <w:rsid w:val="00D90265"/>
    <w:rsid w:val="00D92CF3"/>
    <w:rsid w:val="00D92DD2"/>
    <w:rsid w:val="00D970C7"/>
    <w:rsid w:val="00D979E8"/>
    <w:rsid w:val="00D97C6A"/>
    <w:rsid w:val="00DA0562"/>
    <w:rsid w:val="00DA0FE7"/>
    <w:rsid w:val="00DA1531"/>
    <w:rsid w:val="00DA2274"/>
    <w:rsid w:val="00DA2562"/>
    <w:rsid w:val="00DA30C3"/>
    <w:rsid w:val="00DA3433"/>
    <w:rsid w:val="00DA3541"/>
    <w:rsid w:val="00DA41B0"/>
    <w:rsid w:val="00DA463E"/>
    <w:rsid w:val="00DA4D10"/>
    <w:rsid w:val="00DA56D2"/>
    <w:rsid w:val="00DA5B07"/>
    <w:rsid w:val="00DA5DCE"/>
    <w:rsid w:val="00DA6D54"/>
    <w:rsid w:val="00DA73CD"/>
    <w:rsid w:val="00DA7CC1"/>
    <w:rsid w:val="00DB0F0E"/>
    <w:rsid w:val="00DB319D"/>
    <w:rsid w:val="00DB4D7C"/>
    <w:rsid w:val="00DB5BEC"/>
    <w:rsid w:val="00DB5E9C"/>
    <w:rsid w:val="00DB5F8D"/>
    <w:rsid w:val="00DB6284"/>
    <w:rsid w:val="00DB6BA1"/>
    <w:rsid w:val="00DB6EF0"/>
    <w:rsid w:val="00DB758A"/>
    <w:rsid w:val="00DB7AD8"/>
    <w:rsid w:val="00DC016F"/>
    <w:rsid w:val="00DC0B60"/>
    <w:rsid w:val="00DC1E42"/>
    <w:rsid w:val="00DC2273"/>
    <w:rsid w:val="00DC3320"/>
    <w:rsid w:val="00DC3D6F"/>
    <w:rsid w:val="00DC4B7D"/>
    <w:rsid w:val="00DC4BFF"/>
    <w:rsid w:val="00DC5312"/>
    <w:rsid w:val="00DC56BA"/>
    <w:rsid w:val="00DD02EE"/>
    <w:rsid w:val="00DD0D49"/>
    <w:rsid w:val="00DD0DEF"/>
    <w:rsid w:val="00DD1534"/>
    <w:rsid w:val="00DD1E55"/>
    <w:rsid w:val="00DD21FC"/>
    <w:rsid w:val="00DD3136"/>
    <w:rsid w:val="00DD33D0"/>
    <w:rsid w:val="00DD3940"/>
    <w:rsid w:val="00DD3C9F"/>
    <w:rsid w:val="00DD3FA7"/>
    <w:rsid w:val="00DD4635"/>
    <w:rsid w:val="00DD5B2D"/>
    <w:rsid w:val="00DD6454"/>
    <w:rsid w:val="00DD6C37"/>
    <w:rsid w:val="00DD78E2"/>
    <w:rsid w:val="00DDDC9C"/>
    <w:rsid w:val="00DE021E"/>
    <w:rsid w:val="00DE1EE2"/>
    <w:rsid w:val="00DE21DA"/>
    <w:rsid w:val="00DE2609"/>
    <w:rsid w:val="00DE466D"/>
    <w:rsid w:val="00DE4C29"/>
    <w:rsid w:val="00DE543F"/>
    <w:rsid w:val="00DE5BD8"/>
    <w:rsid w:val="00DE6500"/>
    <w:rsid w:val="00DE650B"/>
    <w:rsid w:val="00DE6D12"/>
    <w:rsid w:val="00DE6D32"/>
    <w:rsid w:val="00DF02A6"/>
    <w:rsid w:val="00DF0934"/>
    <w:rsid w:val="00DF0AE4"/>
    <w:rsid w:val="00DF0E74"/>
    <w:rsid w:val="00DF1384"/>
    <w:rsid w:val="00DF188E"/>
    <w:rsid w:val="00DF1BAB"/>
    <w:rsid w:val="00DF2AE3"/>
    <w:rsid w:val="00DF3B50"/>
    <w:rsid w:val="00DF4548"/>
    <w:rsid w:val="00DF4B92"/>
    <w:rsid w:val="00DF53EB"/>
    <w:rsid w:val="00DF6464"/>
    <w:rsid w:val="00DF69AF"/>
    <w:rsid w:val="00E00B2B"/>
    <w:rsid w:val="00E02915"/>
    <w:rsid w:val="00E03DE7"/>
    <w:rsid w:val="00E045A9"/>
    <w:rsid w:val="00E05D6A"/>
    <w:rsid w:val="00E07EA4"/>
    <w:rsid w:val="00E10FAE"/>
    <w:rsid w:val="00E12D01"/>
    <w:rsid w:val="00E13146"/>
    <w:rsid w:val="00E1419E"/>
    <w:rsid w:val="00E14391"/>
    <w:rsid w:val="00E1442E"/>
    <w:rsid w:val="00E14430"/>
    <w:rsid w:val="00E1460D"/>
    <w:rsid w:val="00E14785"/>
    <w:rsid w:val="00E15783"/>
    <w:rsid w:val="00E1634F"/>
    <w:rsid w:val="00E20A2E"/>
    <w:rsid w:val="00E22354"/>
    <w:rsid w:val="00E226DD"/>
    <w:rsid w:val="00E23177"/>
    <w:rsid w:val="00E237F8"/>
    <w:rsid w:val="00E24D4C"/>
    <w:rsid w:val="00E24E42"/>
    <w:rsid w:val="00E25315"/>
    <w:rsid w:val="00E25EBC"/>
    <w:rsid w:val="00E26206"/>
    <w:rsid w:val="00E26215"/>
    <w:rsid w:val="00E26456"/>
    <w:rsid w:val="00E264DB"/>
    <w:rsid w:val="00E2707A"/>
    <w:rsid w:val="00E30C01"/>
    <w:rsid w:val="00E30D1E"/>
    <w:rsid w:val="00E31768"/>
    <w:rsid w:val="00E32E87"/>
    <w:rsid w:val="00E334AF"/>
    <w:rsid w:val="00E3394A"/>
    <w:rsid w:val="00E33FD3"/>
    <w:rsid w:val="00E33FEE"/>
    <w:rsid w:val="00E3447F"/>
    <w:rsid w:val="00E3550A"/>
    <w:rsid w:val="00E356C2"/>
    <w:rsid w:val="00E35DCC"/>
    <w:rsid w:val="00E37BFD"/>
    <w:rsid w:val="00E4019F"/>
    <w:rsid w:val="00E416E7"/>
    <w:rsid w:val="00E4218A"/>
    <w:rsid w:val="00E42E84"/>
    <w:rsid w:val="00E42FE2"/>
    <w:rsid w:val="00E4302B"/>
    <w:rsid w:val="00E4306D"/>
    <w:rsid w:val="00E44838"/>
    <w:rsid w:val="00E44ADA"/>
    <w:rsid w:val="00E45153"/>
    <w:rsid w:val="00E455D0"/>
    <w:rsid w:val="00E47CA6"/>
    <w:rsid w:val="00E500C5"/>
    <w:rsid w:val="00E51229"/>
    <w:rsid w:val="00E5195F"/>
    <w:rsid w:val="00E5285C"/>
    <w:rsid w:val="00E5290A"/>
    <w:rsid w:val="00E52BE7"/>
    <w:rsid w:val="00E53478"/>
    <w:rsid w:val="00E544B3"/>
    <w:rsid w:val="00E55236"/>
    <w:rsid w:val="00E552A0"/>
    <w:rsid w:val="00E55F0D"/>
    <w:rsid w:val="00E56189"/>
    <w:rsid w:val="00E565BF"/>
    <w:rsid w:val="00E57B1A"/>
    <w:rsid w:val="00E609AF"/>
    <w:rsid w:val="00E622AA"/>
    <w:rsid w:val="00E6258E"/>
    <w:rsid w:val="00E637A5"/>
    <w:rsid w:val="00E63CFB"/>
    <w:rsid w:val="00E64028"/>
    <w:rsid w:val="00E64282"/>
    <w:rsid w:val="00E64997"/>
    <w:rsid w:val="00E6529E"/>
    <w:rsid w:val="00E66C9C"/>
    <w:rsid w:val="00E67471"/>
    <w:rsid w:val="00E67A6C"/>
    <w:rsid w:val="00E67E7B"/>
    <w:rsid w:val="00E706FB"/>
    <w:rsid w:val="00E7105E"/>
    <w:rsid w:val="00E71FEC"/>
    <w:rsid w:val="00E72146"/>
    <w:rsid w:val="00E72ADF"/>
    <w:rsid w:val="00E72D92"/>
    <w:rsid w:val="00E74FF2"/>
    <w:rsid w:val="00E76723"/>
    <w:rsid w:val="00E77299"/>
    <w:rsid w:val="00E774C0"/>
    <w:rsid w:val="00E80EA6"/>
    <w:rsid w:val="00E80F95"/>
    <w:rsid w:val="00E8138D"/>
    <w:rsid w:val="00E814D5"/>
    <w:rsid w:val="00E81A92"/>
    <w:rsid w:val="00E836F0"/>
    <w:rsid w:val="00E83F64"/>
    <w:rsid w:val="00E8438B"/>
    <w:rsid w:val="00E84AD2"/>
    <w:rsid w:val="00E85886"/>
    <w:rsid w:val="00E86BCC"/>
    <w:rsid w:val="00E86E25"/>
    <w:rsid w:val="00E870E7"/>
    <w:rsid w:val="00E914A2"/>
    <w:rsid w:val="00E91C29"/>
    <w:rsid w:val="00E931A9"/>
    <w:rsid w:val="00E93637"/>
    <w:rsid w:val="00E942A8"/>
    <w:rsid w:val="00E945AE"/>
    <w:rsid w:val="00E9465C"/>
    <w:rsid w:val="00E94A0B"/>
    <w:rsid w:val="00E94CE3"/>
    <w:rsid w:val="00E95B90"/>
    <w:rsid w:val="00E95F53"/>
    <w:rsid w:val="00E9664D"/>
    <w:rsid w:val="00E96E5B"/>
    <w:rsid w:val="00E9725C"/>
    <w:rsid w:val="00E978C5"/>
    <w:rsid w:val="00EA408B"/>
    <w:rsid w:val="00EA4A30"/>
    <w:rsid w:val="00EA5109"/>
    <w:rsid w:val="00EA6405"/>
    <w:rsid w:val="00EA7290"/>
    <w:rsid w:val="00EA791B"/>
    <w:rsid w:val="00EA7CC0"/>
    <w:rsid w:val="00EA7E0E"/>
    <w:rsid w:val="00EB2708"/>
    <w:rsid w:val="00EB289C"/>
    <w:rsid w:val="00EB2C98"/>
    <w:rsid w:val="00EB2E2F"/>
    <w:rsid w:val="00EB4A66"/>
    <w:rsid w:val="00EB4EE4"/>
    <w:rsid w:val="00EB74E9"/>
    <w:rsid w:val="00EC049E"/>
    <w:rsid w:val="00EC12CD"/>
    <w:rsid w:val="00EC2F5C"/>
    <w:rsid w:val="00EC4387"/>
    <w:rsid w:val="00EC5F8B"/>
    <w:rsid w:val="00EC6422"/>
    <w:rsid w:val="00EC70DE"/>
    <w:rsid w:val="00EC7AEB"/>
    <w:rsid w:val="00ED0864"/>
    <w:rsid w:val="00ED0C4A"/>
    <w:rsid w:val="00ED1123"/>
    <w:rsid w:val="00ED22FD"/>
    <w:rsid w:val="00ED2324"/>
    <w:rsid w:val="00ED29F6"/>
    <w:rsid w:val="00ED2A97"/>
    <w:rsid w:val="00ED2C56"/>
    <w:rsid w:val="00ED2C8E"/>
    <w:rsid w:val="00ED31B0"/>
    <w:rsid w:val="00ED3728"/>
    <w:rsid w:val="00ED57F9"/>
    <w:rsid w:val="00ED5865"/>
    <w:rsid w:val="00ED5D4F"/>
    <w:rsid w:val="00ED698B"/>
    <w:rsid w:val="00EE1356"/>
    <w:rsid w:val="00EE172A"/>
    <w:rsid w:val="00EE2ED1"/>
    <w:rsid w:val="00EE4119"/>
    <w:rsid w:val="00EE6977"/>
    <w:rsid w:val="00EE7DBE"/>
    <w:rsid w:val="00EF0975"/>
    <w:rsid w:val="00EF0AE9"/>
    <w:rsid w:val="00EF0EED"/>
    <w:rsid w:val="00EF0F99"/>
    <w:rsid w:val="00EF32AF"/>
    <w:rsid w:val="00EF369E"/>
    <w:rsid w:val="00EF3E91"/>
    <w:rsid w:val="00EF4AD8"/>
    <w:rsid w:val="00EF5C75"/>
    <w:rsid w:val="00EF61BC"/>
    <w:rsid w:val="00EF63C9"/>
    <w:rsid w:val="00EF6D3C"/>
    <w:rsid w:val="00EF70E2"/>
    <w:rsid w:val="00F008EF"/>
    <w:rsid w:val="00F017DD"/>
    <w:rsid w:val="00F0185D"/>
    <w:rsid w:val="00F025D4"/>
    <w:rsid w:val="00F02EA5"/>
    <w:rsid w:val="00F041AF"/>
    <w:rsid w:val="00F073D0"/>
    <w:rsid w:val="00F103CC"/>
    <w:rsid w:val="00F107DE"/>
    <w:rsid w:val="00F12451"/>
    <w:rsid w:val="00F12C8E"/>
    <w:rsid w:val="00F142BC"/>
    <w:rsid w:val="00F14F2C"/>
    <w:rsid w:val="00F1547A"/>
    <w:rsid w:val="00F16632"/>
    <w:rsid w:val="00F16942"/>
    <w:rsid w:val="00F16994"/>
    <w:rsid w:val="00F1748E"/>
    <w:rsid w:val="00F1795D"/>
    <w:rsid w:val="00F17F4B"/>
    <w:rsid w:val="00F20529"/>
    <w:rsid w:val="00F2069E"/>
    <w:rsid w:val="00F20851"/>
    <w:rsid w:val="00F2171E"/>
    <w:rsid w:val="00F21F21"/>
    <w:rsid w:val="00F22428"/>
    <w:rsid w:val="00F23036"/>
    <w:rsid w:val="00F23A9F"/>
    <w:rsid w:val="00F24B03"/>
    <w:rsid w:val="00F2691A"/>
    <w:rsid w:val="00F301D5"/>
    <w:rsid w:val="00F303BD"/>
    <w:rsid w:val="00F30FF3"/>
    <w:rsid w:val="00F34183"/>
    <w:rsid w:val="00F34796"/>
    <w:rsid w:val="00F358E4"/>
    <w:rsid w:val="00F36A95"/>
    <w:rsid w:val="00F36AF4"/>
    <w:rsid w:val="00F37C7E"/>
    <w:rsid w:val="00F40144"/>
    <w:rsid w:val="00F40F57"/>
    <w:rsid w:val="00F41118"/>
    <w:rsid w:val="00F41908"/>
    <w:rsid w:val="00F41C49"/>
    <w:rsid w:val="00F426C1"/>
    <w:rsid w:val="00F42AF2"/>
    <w:rsid w:val="00F42E8B"/>
    <w:rsid w:val="00F43057"/>
    <w:rsid w:val="00F43779"/>
    <w:rsid w:val="00F43B73"/>
    <w:rsid w:val="00F43EA9"/>
    <w:rsid w:val="00F43F10"/>
    <w:rsid w:val="00F457B7"/>
    <w:rsid w:val="00F45D1F"/>
    <w:rsid w:val="00F46D15"/>
    <w:rsid w:val="00F47863"/>
    <w:rsid w:val="00F503EC"/>
    <w:rsid w:val="00F508FC"/>
    <w:rsid w:val="00F50A47"/>
    <w:rsid w:val="00F511AA"/>
    <w:rsid w:val="00F52B93"/>
    <w:rsid w:val="00F52DBE"/>
    <w:rsid w:val="00F53083"/>
    <w:rsid w:val="00F54457"/>
    <w:rsid w:val="00F55426"/>
    <w:rsid w:val="00F55540"/>
    <w:rsid w:val="00F55EE0"/>
    <w:rsid w:val="00F57B80"/>
    <w:rsid w:val="00F57F5C"/>
    <w:rsid w:val="00F60899"/>
    <w:rsid w:val="00F6107D"/>
    <w:rsid w:val="00F61919"/>
    <w:rsid w:val="00F6379B"/>
    <w:rsid w:val="00F65235"/>
    <w:rsid w:val="00F655A6"/>
    <w:rsid w:val="00F65837"/>
    <w:rsid w:val="00F65A17"/>
    <w:rsid w:val="00F66381"/>
    <w:rsid w:val="00F667B3"/>
    <w:rsid w:val="00F66D77"/>
    <w:rsid w:val="00F6760D"/>
    <w:rsid w:val="00F70489"/>
    <w:rsid w:val="00F70B8A"/>
    <w:rsid w:val="00F739AE"/>
    <w:rsid w:val="00F743DB"/>
    <w:rsid w:val="00F75086"/>
    <w:rsid w:val="00F80A05"/>
    <w:rsid w:val="00F80ED5"/>
    <w:rsid w:val="00F814CE"/>
    <w:rsid w:val="00F814D3"/>
    <w:rsid w:val="00F81921"/>
    <w:rsid w:val="00F8361C"/>
    <w:rsid w:val="00F837C6"/>
    <w:rsid w:val="00F84141"/>
    <w:rsid w:val="00F847F2"/>
    <w:rsid w:val="00F857F9"/>
    <w:rsid w:val="00F876AF"/>
    <w:rsid w:val="00F91161"/>
    <w:rsid w:val="00F91561"/>
    <w:rsid w:val="00F931B9"/>
    <w:rsid w:val="00F938C6"/>
    <w:rsid w:val="00F93C32"/>
    <w:rsid w:val="00F940F5"/>
    <w:rsid w:val="00F95F80"/>
    <w:rsid w:val="00F96C91"/>
    <w:rsid w:val="00F97149"/>
    <w:rsid w:val="00F97457"/>
    <w:rsid w:val="00FA065A"/>
    <w:rsid w:val="00FA0C15"/>
    <w:rsid w:val="00FA253A"/>
    <w:rsid w:val="00FA25D2"/>
    <w:rsid w:val="00FA3BBA"/>
    <w:rsid w:val="00FA3F5F"/>
    <w:rsid w:val="00FA409C"/>
    <w:rsid w:val="00FA442A"/>
    <w:rsid w:val="00FA4D50"/>
    <w:rsid w:val="00FA534E"/>
    <w:rsid w:val="00FB0306"/>
    <w:rsid w:val="00FB05F1"/>
    <w:rsid w:val="00FB0679"/>
    <w:rsid w:val="00FB21A5"/>
    <w:rsid w:val="00FB2E21"/>
    <w:rsid w:val="00FB30E3"/>
    <w:rsid w:val="00FB3223"/>
    <w:rsid w:val="00FB34A4"/>
    <w:rsid w:val="00FB34E1"/>
    <w:rsid w:val="00FB42E5"/>
    <w:rsid w:val="00FB4744"/>
    <w:rsid w:val="00FB5AC6"/>
    <w:rsid w:val="00FB6393"/>
    <w:rsid w:val="00FB78D5"/>
    <w:rsid w:val="00FC068E"/>
    <w:rsid w:val="00FC1312"/>
    <w:rsid w:val="00FC137C"/>
    <w:rsid w:val="00FC2127"/>
    <w:rsid w:val="00FC2857"/>
    <w:rsid w:val="00FC2BDC"/>
    <w:rsid w:val="00FC30DB"/>
    <w:rsid w:val="00FC41AF"/>
    <w:rsid w:val="00FC5843"/>
    <w:rsid w:val="00FC6609"/>
    <w:rsid w:val="00FC72A7"/>
    <w:rsid w:val="00FD0F87"/>
    <w:rsid w:val="00FD2588"/>
    <w:rsid w:val="00FD276B"/>
    <w:rsid w:val="00FD3629"/>
    <w:rsid w:val="00FD3946"/>
    <w:rsid w:val="00FD432E"/>
    <w:rsid w:val="00FD49C8"/>
    <w:rsid w:val="00FD5AF6"/>
    <w:rsid w:val="00FD5D22"/>
    <w:rsid w:val="00FD5E0F"/>
    <w:rsid w:val="00FD6036"/>
    <w:rsid w:val="00FD6A1D"/>
    <w:rsid w:val="00FE06F7"/>
    <w:rsid w:val="00FE0CFF"/>
    <w:rsid w:val="00FE1030"/>
    <w:rsid w:val="00FE195A"/>
    <w:rsid w:val="00FE19C8"/>
    <w:rsid w:val="00FE2E24"/>
    <w:rsid w:val="00FE4F0A"/>
    <w:rsid w:val="00FE5661"/>
    <w:rsid w:val="00FE721C"/>
    <w:rsid w:val="00FE7734"/>
    <w:rsid w:val="00FE7FFD"/>
    <w:rsid w:val="00FF10B5"/>
    <w:rsid w:val="00FF37A8"/>
    <w:rsid w:val="00FF3B14"/>
    <w:rsid w:val="00FF3CB8"/>
    <w:rsid w:val="00FF407C"/>
    <w:rsid w:val="00FF6F17"/>
    <w:rsid w:val="00FF70CF"/>
    <w:rsid w:val="00FF7293"/>
    <w:rsid w:val="011C801E"/>
    <w:rsid w:val="012DF55E"/>
    <w:rsid w:val="013A523A"/>
    <w:rsid w:val="013AABF7"/>
    <w:rsid w:val="014660CB"/>
    <w:rsid w:val="014D4625"/>
    <w:rsid w:val="0176B550"/>
    <w:rsid w:val="017AAE79"/>
    <w:rsid w:val="01876A35"/>
    <w:rsid w:val="0189DE30"/>
    <w:rsid w:val="01D356D0"/>
    <w:rsid w:val="01DB466C"/>
    <w:rsid w:val="01EAA0A6"/>
    <w:rsid w:val="022F866A"/>
    <w:rsid w:val="0230AD84"/>
    <w:rsid w:val="0251DED9"/>
    <w:rsid w:val="027A07E6"/>
    <w:rsid w:val="02962A0B"/>
    <w:rsid w:val="02CD3A7F"/>
    <w:rsid w:val="02DE43EB"/>
    <w:rsid w:val="032FE738"/>
    <w:rsid w:val="033107AF"/>
    <w:rsid w:val="03329336"/>
    <w:rsid w:val="033E398B"/>
    <w:rsid w:val="03767D30"/>
    <w:rsid w:val="039C4AEC"/>
    <w:rsid w:val="03A77096"/>
    <w:rsid w:val="03C28372"/>
    <w:rsid w:val="03C95C3C"/>
    <w:rsid w:val="03E68EF3"/>
    <w:rsid w:val="03E9A700"/>
    <w:rsid w:val="04045170"/>
    <w:rsid w:val="04194DD9"/>
    <w:rsid w:val="041DA335"/>
    <w:rsid w:val="042039E4"/>
    <w:rsid w:val="045DEF42"/>
    <w:rsid w:val="04630C9E"/>
    <w:rsid w:val="0467E830"/>
    <w:rsid w:val="046A872E"/>
    <w:rsid w:val="046BB66B"/>
    <w:rsid w:val="046F7BA9"/>
    <w:rsid w:val="04770D81"/>
    <w:rsid w:val="049F013F"/>
    <w:rsid w:val="04A51112"/>
    <w:rsid w:val="04A74542"/>
    <w:rsid w:val="04C74C43"/>
    <w:rsid w:val="04F92B33"/>
    <w:rsid w:val="0510D7D3"/>
    <w:rsid w:val="051A4E7E"/>
    <w:rsid w:val="052A6C5E"/>
    <w:rsid w:val="052BC7EA"/>
    <w:rsid w:val="052DE624"/>
    <w:rsid w:val="05395697"/>
    <w:rsid w:val="053CCEEE"/>
    <w:rsid w:val="055B4BE0"/>
    <w:rsid w:val="056771FE"/>
    <w:rsid w:val="0588C507"/>
    <w:rsid w:val="05ADC0AE"/>
    <w:rsid w:val="05B2B207"/>
    <w:rsid w:val="05B336A1"/>
    <w:rsid w:val="05CB9DAA"/>
    <w:rsid w:val="05DD4CFA"/>
    <w:rsid w:val="05FA5139"/>
    <w:rsid w:val="05FBB355"/>
    <w:rsid w:val="061AFF4E"/>
    <w:rsid w:val="06333C62"/>
    <w:rsid w:val="0639B7A1"/>
    <w:rsid w:val="063AF115"/>
    <w:rsid w:val="064677AA"/>
    <w:rsid w:val="0658411D"/>
    <w:rsid w:val="065E867D"/>
    <w:rsid w:val="0672DB6C"/>
    <w:rsid w:val="068B2F27"/>
    <w:rsid w:val="0698DB97"/>
    <w:rsid w:val="06A7C991"/>
    <w:rsid w:val="06B3F6F7"/>
    <w:rsid w:val="06BA84CB"/>
    <w:rsid w:val="06DB3EBB"/>
    <w:rsid w:val="06E95503"/>
    <w:rsid w:val="06F34B89"/>
    <w:rsid w:val="06FD2314"/>
    <w:rsid w:val="070BF1F2"/>
    <w:rsid w:val="0719828D"/>
    <w:rsid w:val="072591EE"/>
    <w:rsid w:val="0726A68C"/>
    <w:rsid w:val="0754BD29"/>
    <w:rsid w:val="077AA81F"/>
    <w:rsid w:val="0785A83E"/>
    <w:rsid w:val="07898EC2"/>
    <w:rsid w:val="0797F2B6"/>
    <w:rsid w:val="07AB4F69"/>
    <w:rsid w:val="07C2B10A"/>
    <w:rsid w:val="07F0CD7F"/>
    <w:rsid w:val="080A36AF"/>
    <w:rsid w:val="080B71AC"/>
    <w:rsid w:val="0815910B"/>
    <w:rsid w:val="082EA11C"/>
    <w:rsid w:val="0853F273"/>
    <w:rsid w:val="086536C1"/>
    <w:rsid w:val="0873D560"/>
    <w:rsid w:val="08E0C0E3"/>
    <w:rsid w:val="08F0D021"/>
    <w:rsid w:val="09099FF5"/>
    <w:rsid w:val="090ACC7C"/>
    <w:rsid w:val="0913B469"/>
    <w:rsid w:val="0937EFCD"/>
    <w:rsid w:val="094489D1"/>
    <w:rsid w:val="09637C2F"/>
    <w:rsid w:val="09642CD3"/>
    <w:rsid w:val="09695844"/>
    <w:rsid w:val="096EFB1D"/>
    <w:rsid w:val="0973D598"/>
    <w:rsid w:val="09818B4A"/>
    <w:rsid w:val="098377C4"/>
    <w:rsid w:val="0991B30C"/>
    <w:rsid w:val="09B2A642"/>
    <w:rsid w:val="09B644B2"/>
    <w:rsid w:val="09D8535F"/>
    <w:rsid w:val="0A199F83"/>
    <w:rsid w:val="0A2F615B"/>
    <w:rsid w:val="0A3227B2"/>
    <w:rsid w:val="0A3DC691"/>
    <w:rsid w:val="0A4196EB"/>
    <w:rsid w:val="0A478B3F"/>
    <w:rsid w:val="0A556F9E"/>
    <w:rsid w:val="0AA0C273"/>
    <w:rsid w:val="0AAD7AFB"/>
    <w:rsid w:val="0ABE38F7"/>
    <w:rsid w:val="0B09D40E"/>
    <w:rsid w:val="0B1B1962"/>
    <w:rsid w:val="0B363A5A"/>
    <w:rsid w:val="0B55E9D1"/>
    <w:rsid w:val="0B569B72"/>
    <w:rsid w:val="0B669B92"/>
    <w:rsid w:val="0B748A0A"/>
    <w:rsid w:val="0B871CD6"/>
    <w:rsid w:val="0B8C57B4"/>
    <w:rsid w:val="0BAC2A5A"/>
    <w:rsid w:val="0BC96996"/>
    <w:rsid w:val="0BE249E9"/>
    <w:rsid w:val="0BF430BD"/>
    <w:rsid w:val="0C29B616"/>
    <w:rsid w:val="0C370919"/>
    <w:rsid w:val="0C54E7CC"/>
    <w:rsid w:val="0C5BA62E"/>
    <w:rsid w:val="0C5E2BCC"/>
    <w:rsid w:val="0C5F9157"/>
    <w:rsid w:val="0C7A49DD"/>
    <w:rsid w:val="0C906C18"/>
    <w:rsid w:val="0C9FB8B5"/>
    <w:rsid w:val="0CA2D376"/>
    <w:rsid w:val="0CB12FDF"/>
    <w:rsid w:val="0CB203EC"/>
    <w:rsid w:val="0CBCA7E6"/>
    <w:rsid w:val="0CC4A8CC"/>
    <w:rsid w:val="0CE65631"/>
    <w:rsid w:val="0CE8CC7C"/>
    <w:rsid w:val="0CEEFF3B"/>
    <w:rsid w:val="0D16D19E"/>
    <w:rsid w:val="0D57E57A"/>
    <w:rsid w:val="0D92B695"/>
    <w:rsid w:val="0D9F82DD"/>
    <w:rsid w:val="0DE7DD83"/>
    <w:rsid w:val="0DF282D1"/>
    <w:rsid w:val="0DF97B82"/>
    <w:rsid w:val="0DFD0A91"/>
    <w:rsid w:val="0E02B9EA"/>
    <w:rsid w:val="0E84C9CB"/>
    <w:rsid w:val="0E983D5F"/>
    <w:rsid w:val="0EA0904B"/>
    <w:rsid w:val="0EED0848"/>
    <w:rsid w:val="0F2558D3"/>
    <w:rsid w:val="0F490DE3"/>
    <w:rsid w:val="0F6F63A9"/>
    <w:rsid w:val="0F836B63"/>
    <w:rsid w:val="0F927A72"/>
    <w:rsid w:val="0FA171F1"/>
    <w:rsid w:val="0FA89C49"/>
    <w:rsid w:val="0FB5CD63"/>
    <w:rsid w:val="0FE090FB"/>
    <w:rsid w:val="101BA12E"/>
    <w:rsid w:val="101E3A9D"/>
    <w:rsid w:val="1027A927"/>
    <w:rsid w:val="1028847C"/>
    <w:rsid w:val="105A29EB"/>
    <w:rsid w:val="1084EB3F"/>
    <w:rsid w:val="1088DE55"/>
    <w:rsid w:val="108C1D92"/>
    <w:rsid w:val="109CD9D6"/>
    <w:rsid w:val="10A53A54"/>
    <w:rsid w:val="10AE8428"/>
    <w:rsid w:val="10B2FB04"/>
    <w:rsid w:val="10C37E86"/>
    <w:rsid w:val="10FC565D"/>
    <w:rsid w:val="112323C7"/>
    <w:rsid w:val="1137C4B8"/>
    <w:rsid w:val="113E9F79"/>
    <w:rsid w:val="114C5FB8"/>
    <w:rsid w:val="114C7C07"/>
    <w:rsid w:val="117E0042"/>
    <w:rsid w:val="11A24ED5"/>
    <w:rsid w:val="11B3AF0C"/>
    <w:rsid w:val="11B5A9D8"/>
    <w:rsid w:val="11EF20C2"/>
    <w:rsid w:val="11FBB7C7"/>
    <w:rsid w:val="120C4090"/>
    <w:rsid w:val="120E62F2"/>
    <w:rsid w:val="1210CF08"/>
    <w:rsid w:val="122EA9D2"/>
    <w:rsid w:val="12576B49"/>
    <w:rsid w:val="1275FA4A"/>
    <w:rsid w:val="12A23FC2"/>
    <w:rsid w:val="12B3C708"/>
    <w:rsid w:val="12BC3BAC"/>
    <w:rsid w:val="12BE8449"/>
    <w:rsid w:val="12BF24EC"/>
    <w:rsid w:val="12C0A8A4"/>
    <w:rsid w:val="12F2CF98"/>
    <w:rsid w:val="1305A7A4"/>
    <w:rsid w:val="1306DFB7"/>
    <w:rsid w:val="130DBA1C"/>
    <w:rsid w:val="1324D5CA"/>
    <w:rsid w:val="1327A114"/>
    <w:rsid w:val="1336544D"/>
    <w:rsid w:val="136F018C"/>
    <w:rsid w:val="137DE36C"/>
    <w:rsid w:val="139565FC"/>
    <w:rsid w:val="13A364B4"/>
    <w:rsid w:val="13A689E9"/>
    <w:rsid w:val="13BFEC10"/>
    <w:rsid w:val="13E0332B"/>
    <w:rsid w:val="13E1E31C"/>
    <w:rsid w:val="13F41997"/>
    <w:rsid w:val="1415A137"/>
    <w:rsid w:val="142DF5E0"/>
    <w:rsid w:val="143C9551"/>
    <w:rsid w:val="1448989E"/>
    <w:rsid w:val="145F3FF9"/>
    <w:rsid w:val="1460A4C0"/>
    <w:rsid w:val="1474F893"/>
    <w:rsid w:val="149222AE"/>
    <w:rsid w:val="14BC263D"/>
    <w:rsid w:val="1502C028"/>
    <w:rsid w:val="150F3DC1"/>
    <w:rsid w:val="151BF334"/>
    <w:rsid w:val="1526EB10"/>
    <w:rsid w:val="152F9453"/>
    <w:rsid w:val="15520CBD"/>
    <w:rsid w:val="1567D8E5"/>
    <w:rsid w:val="15900B4F"/>
    <w:rsid w:val="1592537A"/>
    <w:rsid w:val="159A959F"/>
    <w:rsid w:val="159AFDAD"/>
    <w:rsid w:val="15ABB5DC"/>
    <w:rsid w:val="15BFF753"/>
    <w:rsid w:val="15C53E98"/>
    <w:rsid w:val="15D2F2AD"/>
    <w:rsid w:val="15D617ED"/>
    <w:rsid w:val="15E2DC45"/>
    <w:rsid w:val="15EF4886"/>
    <w:rsid w:val="15F440B2"/>
    <w:rsid w:val="1619D6BE"/>
    <w:rsid w:val="1627A804"/>
    <w:rsid w:val="164C5D1B"/>
    <w:rsid w:val="164F86FD"/>
    <w:rsid w:val="16504040"/>
    <w:rsid w:val="168C5423"/>
    <w:rsid w:val="16989F80"/>
    <w:rsid w:val="16E6E133"/>
    <w:rsid w:val="16EB46BE"/>
    <w:rsid w:val="170CF1DE"/>
    <w:rsid w:val="17173214"/>
    <w:rsid w:val="1720E5CA"/>
    <w:rsid w:val="17403F0D"/>
    <w:rsid w:val="176AC9B6"/>
    <w:rsid w:val="1770FDF7"/>
    <w:rsid w:val="179DE868"/>
    <w:rsid w:val="17A5D1B5"/>
    <w:rsid w:val="17B12B64"/>
    <w:rsid w:val="17C879F0"/>
    <w:rsid w:val="1823DACA"/>
    <w:rsid w:val="182A830A"/>
    <w:rsid w:val="182BE47D"/>
    <w:rsid w:val="1895A816"/>
    <w:rsid w:val="18979593"/>
    <w:rsid w:val="18A59270"/>
    <w:rsid w:val="18EACB96"/>
    <w:rsid w:val="18F993A1"/>
    <w:rsid w:val="18FC2CF4"/>
    <w:rsid w:val="190152A8"/>
    <w:rsid w:val="190DB312"/>
    <w:rsid w:val="192026FB"/>
    <w:rsid w:val="19442F70"/>
    <w:rsid w:val="1949DAA7"/>
    <w:rsid w:val="194CCE82"/>
    <w:rsid w:val="196D1894"/>
    <w:rsid w:val="1992923D"/>
    <w:rsid w:val="199607CD"/>
    <w:rsid w:val="19A25804"/>
    <w:rsid w:val="19C36C3C"/>
    <w:rsid w:val="19F04828"/>
    <w:rsid w:val="19F95E42"/>
    <w:rsid w:val="1A0167E2"/>
    <w:rsid w:val="1A2E569F"/>
    <w:rsid w:val="1A325430"/>
    <w:rsid w:val="1A48413F"/>
    <w:rsid w:val="1A54C46B"/>
    <w:rsid w:val="1A6B14D9"/>
    <w:rsid w:val="1A770BD6"/>
    <w:rsid w:val="1A85D340"/>
    <w:rsid w:val="1A94E8D0"/>
    <w:rsid w:val="1A99BEF1"/>
    <w:rsid w:val="1AA1253B"/>
    <w:rsid w:val="1AAA1141"/>
    <w:rsid w:val="1AAC91EA"/>
    <w:rsid w:val="1ABA47A7"/>
    <w:rsid w:val="1AC54A6E"/>
    <w:rsid w:val="1AE6A5FE"/>
    <w:rsid w:val="1AF08DDC"/>
    <w:rsid w:val="1B028D65"/>
    <w:rsid w:val="1B062426"/>
    <w:rsid w:val="1B0B943D"/>
    <w:rsid w:val="1B2195B3"/>
    <w:rsid w:val="1B443C3F"/>
    <w:rsid w:val="1B545406"/>
    <w:rsid w:val="1B799ED2"/>
    <w:rsid w:val="1B7AE398"/>
    <w:rsid w:val="1B8E9BDD"/>
    <w:rsid w:val="1B9E1049"/>
    <w:rsid w:val="1BB5E818"/>
    <w:rsid w:val="1BB98154"/>
    <w:rsid w:val="1BBEE911"/>
    <w:rsid w:val="1BD7A782"/>
    <w:rsid w:val="1BF4CA20"/>
    <w:rsid w:val="1C44FA29"/>
    <w:rsid w:val="1C49A86E"/>
    <w:rsid w:val="1C5E94DF"/>
    <w:rsid w:val="1C81C667"/>
    <w:rsid w:val="1C93DC66"/>
    <w:rsid w:val="1CEBBA5D"/>
    <w:rsid w:val="1CEDEA82"/>
    <w:rsid w:val="1CF2059C"/>
    <w:rsid w:val="1CF4BE25"/>
    <w:rsid w:val="1CF5EC9F"/>
    <w:rsid w:val="1CF74B62"/>
    <w:rsid w:val="1CFABB2B"/>
    <w:rsid w:val="1D039D49"/>
    <w:rsid w:val="1D0A9039"/>
    <w:rsid w:val="1D39AB20"/>
    <w:rsid w:val="1D3AECD7"/>
    <w:rsid w:val="1D6C3981"/>
    <w:rsid w:val="1D827E6B"/>
    <w:rsid w:val="1D99E2A0"/>
    <w:rsid w:val="1DB0149D"/>
    <w:rsid w:val="1DF023A3"/>
    <w:rsid w:val="1E0A43C1"/>
    <w:rsid w:val="1E167875"/>
    <w:rsid w:val="1E1C7328"/>
    <w:rsid w:val="1E1FCD4E"/>
    <w:rsid w:val="1E59CCE2"/>
    <w:rsid w:val="1E68A872"/>
    <w:rsid w:val="1E8E3991"/>
    <w:rsid w:val="1EAE0B70"/>
    <w:rsid w:val="1ECB1517"/>
    <w:rsid w:val="1EE5C2E8"/>
    <w:rsid w:val="1EF234DF"/>
    <w:rsid w:val="1EFD26F1"/>
    <w:rsid w:val="1F14932E"/>
    <w:rsid w:val="1F32931B"/>
    <w:rsid w:val="1F39FB9D"/>
    <w:rsid w:val="1F755DAE"/>
    <w:rsid w:val="1F9023F0"/>
    <w:rsid w:val="1F90DB9E"/>
    <w:rsid w:val="1F96BF4F"/>
    <w:rsid w:val="1FBE2B10"/>
    <w:rsid w:val="1FCDC32A"/>
    <w:rsid w:val="1FD0C1B3"/>
    <w:rsid w:val="1FDCD240"/>
    <w:rsid w:val="201F7BC9"/>
    <w:rsid w:val="20221FA5"/>
    <w:rsid w:val="2024D4E9"/>
    <w:rsid w:val="202BFB39"/>
    <w:rsid w:val="20387CAD"/>
    <w:rsid w:val="205172FA"/>
    <w:rsid w:val="205E28B1"/>
    <w:rsid w:val="205E6EAA"/>
    <w:rsid w:val="2062733D"/>
    <w:rsid w:val="206AC649"/>
    <w:rsid w:val="208BCB02"/>
    <w:rsid w:val="20B9B105"/>
    <w:rsid w:val="20BB8224"/>
    <w:rsid w:val="20C31B5D"/>
    <w:rsid w:val="20CB0E6D"/>
    <w:rsid w:val="20D4210F"/>
    <w:rsid w:val="20E475B1"/>
    <w:rsid w:val="20E5F633"/>
    <w:rsid w:val="20EAB45F"/>
    <w:rsid w:val="20FACAAA"/>
    <w:rsid w:val="20FAFA21"/>
    <w:rsid w:val="210F0F06"/>
    <w:rsid w:val="213EF5D7"/>
    <w:rsid w:val="213FC845"/>
    <w:rsid w:val="21444A5E"/>
    <w:rsid w:val="21595AD3"/>
    <w:rsid w:val="217E8C62"/>
    <w:rsid w:val="21B175B8"/>
    <w:rsid w:val="21D33DE4"/>
    <w:rsid w:val="21F512AC"/>
    <w:rsid w:val="220B2895"/>
    <w:rsid w:val="220D878E"/>
    <w:rsid w:val="221634E3"/>
    <w:rsid w:val="2238EF30"/>
    <w:rsid w:val="223FDBE7"/>
    <w:rsid w:val="2251CF77"/>
    <w:rsid w:val="227DCAD5"/>
    <w:rsid w:val="2289B64C"/>
    <w:rsid w:val="2298005B"/>
    <w:rsid w:val="229B8EEE"/>
    <w:rsid w:val="22A6475A"/>
    <w:rsid w:val="22B77A1C"/>
    <w:rsid w:val="22C31259"/>
    <w:rsid w:val="22E2A12D"/>
    <w:rsid w:val="22F3F5D8"/>
    <w:rsid w:val="23122CEE"/>
    <w:rsid w:val="231EE445"/>
    <w:rsid w:val="231F197F"/>
    <w:rsid w:val="2328BAD4"/>
    <w:rsid w:val="23795A64"/>
    <w:rsid w:val="238BE080"/>
    <w:rsid w:val="238C0B3F"/>
    <w:rsid w:val="23902140"/>
    <w:rsid w:val="23E1EA57"/>
    <w:rsid w:val="2404FC5A"/>
    <w:rsid w:val="242B4424"/>
    <w:rsid w:val="2441D055"/>
    <w:rsid w:val="2447CD27"/>
    <w:rsid w:val="245CF340"/>
    <w:rsid w:val="2461E730"/>
    <w:rsid w:val="247CD8DE"/>
    <w:rsid w:val="247DD6D1"/>
    <w:rsid w:val="248C9CEA"/>
    <w:rsid w:val="24AF1D6D"/>
    <w:rsid w:val="24DB8F25"/>
    <w:rsid w:val="2504498F"/>
    <w:rsid w:val="252682B1"/>
    <w:rsid w:val="25463CE3"/>
    <w:rsid w:val="256DE49C"/>
    <w:rsid w:val="259886D2"/>
    <w:rsid w:val="259BFB4D"/>
    <w:rsid w:val="25B19175"/>
    <w:rsid w:val="26037578"/>
    <w:rsid w:val="26101842"/>
    <w:rsid w:val="261CB396"/>
    <w:rsid w:val="26459F2B"/>
    <w:rsid w:val="264A97B7"/>
    <w:rsid w:val="2656317D"/>
    <w:rsid w:val="26643E4C"/>
    <w:rsid w:val="267322E1"/>
    <w:rsid w:val="268AA8C8"/>
    <w:rsid w:val="268E77CB"/>
    <w:rsid w:val="26985895"/>
    <w:rsid w:val="26A7B449"/>
    <w:rsid w:val="26BCDE48"/>
    <w:rsid w:val="26CB2F0B"/>
    <w:rsid w:val="26D27510"/>
    <w:rsid w:val="26E0C1A4"/>
    <w:rsid w:val="26FDEF83"/>
    <w:rsid w:val="270EC9C7"/>
    <w:rsid w:val="2718F4B8"/>
    <w:rsid w:val="271D2B91"/>
    <w:rsid w:val="273DD06B"/>
    <w:rsid w:val="276118FA"/>
    <w:rsid w:val="27836550"/>
    <w:rsid w:val="279C11F8"/>
    <w:rsid w:val="27BEF6D7"/>
    <w:rsid w:val="27CC6D5D"/>
    <w:rsid w:val="27CC8A20"/>
    <w:rsid w:val="27D011C8"/>
    <w:rsid w:val="27D606E7"/>
    <w:rsid w:val="27DAB39E"/>
    <w:rsid w:val="27FB923A"/>
    <w:rsid w:val="2858066E"/>
    <w:rsid w:val="285C26A1"/>
    <w:rsid w:val="2865D4ED"/>
    <w:rsid w:val="28678F8F"/>
    <w:rsid w:val="286EA21D"/>
    <w:rsid w:val="287A4A6A"/>
    <w:rsid w:val="28985E22"/>
    <w:rsid w:val="28AD43FF"/>
    <w:rsid w:val="28C15B3C"/>
    <w:rsid w:val="28DFAF2F"/>
    <w:rsid w:val="2910A395"/>
    <w:rsid w:val="294D95D9"/>
    <w:rsid w:val="294E786A"/>
    <w:rsid w:val="29865EAF"/>
    <w:rsid w:val="29B006E5"/>
    <w:rsid w:val="29BE914A"/>
    <w:rsid w:val="29C33A90"/>
    <w:rsid w:val="29E67548"/>
    <w:rsid w:val="29F041FE"/>
    <w:rsid w:val="2A1CE5D3"/>
    <w:rsid w:val="2A251464"/>
    <w:rsid w:val="2A38CD61"/>
    <w:rsid w:val="2A3B0A1B"/>
    <w:rsid w:val="2A43D2F7"/>
    <w:rsid w:val="2A4B09BA"/>
    <w:rsid w:val="2A662BF9"/>
    <w:rsid w:val="2A6680B2"/>
    <w:rsid w:val="2A6E20BE"/>
    <w:rsid w:val="2A7F9D36"/>
    <w:rsid w:val="2AA81363"/>
    <w:rsid w:val="2AC0DD19"/>
    <w:rsid w:val="2AC257DE"/>
    <w:rsid w:val="2AD56144"/>
    <w:rsid w:val="2AE50E9D"/>
    <w:rsid w:val="2AEBA652"/>
    <w:rsid w:val="2AF41C1F"/>
    <w:rsid w:val="2B365EFF"/>
    <w:rsid w:val="2BA29AD4"/>
    <w:rsid w:val="2BA2E500"/>
    <w:rsid w:val="2BAA269A"/>
    <w:rsid w:val="2BAB4B83"/>
    <w:rsid w:val="2BB20C6E"/>
    <w:rsid w:val="2BC63C71"/>
    <w:rsid w:val="2BFAFA49"/>
    <w:rsid w:val="2C04D819"/>
    <w:rsid w:val="2C0BAAA7"/>
    <w:rsid w:val="2C123785"/>
    <w:rsid w:val="2C48B640"/>
    <w:rsid w:val="2C6240B7"/>
    <w:rsid w:val="2C634F7E"/>
    <w:rsid w:val="2C75FFD3"/>
    <w:rsid w:val="2C84B48C"/>
    <w:rsid w:val="2C93F7B2"/>
    <w:rsid w:val="2C947DA5"/>
    <w:rsid w:val="2CAB4CED"/>
    <w:rsid w:val="2CB78D0F"/>
    <w:rsid w:val="2CC1EBB9"/>
    <w:rsid w:val="2CC8F3FA"/>
    <w:rsid w:val="2CEA5C5E"/>
    <w:rsid w:val="2CF3E78D"/>
    <w:rsid w:val="2D20877A"/>
    <w:rsid w:val="2D2471BE"/>
    <w:rsid w:val="2D596B05"/>
    <w:rsid w:val="2D5D0D6F"/>
    <w:rsid w:val="2D62534E"/>
    <w:rsid w:val="2D875D2A"/>
    <w:rsid w:val="2D8BE0DC"/>
    <w:rsid w:val="2D9F3646"/>
    <w:rsid w:val="2DAF7AB8"/>
    <w:rsid w:val="2DB7E005"/>
    <w:rsid w:val="2DC852AE"/>
    <w:rsid w:val="2DCA580B"/>
    <w:rsid w:val="2DDDA3FC"/>
    <w:rsid w:val="2E2A255C"/>
    <w:rsid w:val="2E2C4BA4"/>
    <w:rsid w:val="2E381521"/>
    <w:rsid w:val="2E461C70"/>
    <w:rsid w:val="2E8305D3"/>
    <w:rsid w:val="2EEA8F8B"/>
    <w:rsid w:val="2F16547A"/>
    <w:rsid w:val="2F2CB7E9"/>
    <w:rsid w:val="2F4C50C1"/>
    <w:rsid w:val="2F613792"/>
    <w:rsid w:val="2F6AC464"/>
    <w:rsid w:val="2F6D245F"/>
    <w:rsid w:val="2F77E91B"/>
    <w:rsid w:val="2F836DE4"/>
    <w:rsid w:val="2F8FF088"/>
    <w:rsid w:val="2FE7FDCB"/>
    <w:rsid w:val="2FECAFBD"/>
    <w:rsid w:val="2FF34017"/>
    <w:rsid w:val="3000C7E7"/>
    <w:rsid w:val="3010BFCD"/>
    <w:rsid w:val="3028E374"/>
    <w:rsid w:val="3031C071"/>
    <w:rsid w:val="303E65EA"/>
    <w:rsid w:val="304D35F7"/>
    <w:rsid w:val="307BD0CC"/>
    <w:rsid w:val="309AD5F2"/>
    <w:rsid w:val="30A4A4D9"/>
    <w:rsid w:val="30C2A1D2"/>
    <w:rsid w:val="30D401B7"/>
    <w:rsid w:val="30D6DCFC"/>
    <w:rsid w:val="30ED3081"/>
    <w:rsid w:val="31083D02"/>
    <w:rsid w:val="3123BB59"/>
    <w:rsid w:val="312A9229"/>
    <w:rsid w:val="312D896D"/>
    <w:rsid w:val="3132BC24"/>
    <w:rsid w:val="316CFC22"/>
    <w:rsid w:val="317EECDE"/>
    <w:rsid w:val="3182CC3E"/>
    <w:rsid w:val="31B34EE5"/>
    <w:rsid w:val="32341E3C"/>
    <w:rsid w:val="32494379"/>
    <w:rsid w:val="3254C153"/>
    <w:rsid w:val="326AC382"/>
    <w:rsid w:val="32849A1A"/>
    <w:rsid w:val="3292FF05"/>
    <w:rsid w:val="329A7F95"/>
    <w:rsid w:val="329B2655"/>
    <w:rsid w:val="32A56A37"/>
    <w:rsid w:val="32C247CC"/>
    <w:rsid w:val="32CC9AA4"/>
    <w:rsid w:val="32D33718"/>
    <w:rsid w:val="333A218A"/>
    <w:rsid w:val="333F026F"/>
    <w:rsid w:val="3382E2C2"/>
    <w:rsid w:val="33A19158"/>
    <w:rsid w:val="33C53E41"/>
    <w:rsid w:val="33CAB0FA"/>
    <w:rsid w:val="33ED3313"/>
    <w:rsid w:val="33F44AEE"/>
    <w:rsid w:val="33FCF785"/>
    <w:rsid w:val="340573F2"/>
    <w:rsid w:val="3405D5CF"/>
    <w:rsid w:val="34070F61"/>
    <w:rsid w:val="3413AEAA"/>
    <w:rsid w:val="3449DE9B"/>
    <w:rsid w:val="34746554"/>
    <w:rsid w:val="3484DDAB"/>
    <w:rsid w:val="34873633"/>
    <w:rsid w:val="349CAFB7"/>
    <w:rsid w:val="34B3EC46"/>
    <w:rsid w:val="34C899A2"/>
    <w:rsid w:val="34DD058C"/>
    <w:rsid w:val="3500E1CC"/>
    <w:rsid w:val="3504B541"/>
    <w:rsid w:val="3525E8A9"/>
    <w:rsid w:val="3526B1F1"/>
    <w:rsid w:val="352922F2"/>
    <w:rsid w:val="353758A5"/>
    <w:rsid w:val="3562DF9D"/>
    <w:rsid w:val="356FBCB5"/>
    <w:rsid w:val="357A13FF"/>
    <w:rsid w:val="35916A2B"/>
    <w:rsid w:val="35C99058"/>
    <w:rsid w:val="35CF0E3A"/>
    <w:rsid w:val="35DB152A"/>
    <w:rsid w:val="35E9E09C"/>
    <w:rsid w:val="3604A7F0"/>
    <w:rsid w:val="363D80C5"/>
    <w:rsid w:val="36648087"/>
    <w:rsid w:val="366AF02F"/>
    <w:rsid w:val="36736D7D"/>
    <w:rsid w:val="36761D26"/>
    <w:rsid w:val="3691CBB0"/>
    <w:rsid w:val="369F5387"/>
    <w:rsid w:val="36B6292B"/>
    <w:rsid w:val="36DA99A6"/>
    <w:rsid w:val="36DCB959"/>
    <w:rsid w:val="36FA5457"/>
    <w:rsid w:val="37000B2E"/>
    <w:rsid w:val="3702C995"/>
    <w:rsid w:val="373893BA"/>
    <w:rsid w:val="374C9A47"/>
    <w:rsid w:val="3769F2C5"/>
    <w:rsid w:val="37AF983F"/>
    <w:rsid w:val="37CEE97A"/>
    <w:rsid w:val="37D7E31F"/>
    <w:rsid w:val="37E04D2B"/>
    <w:rsid w:val="37E49E1C"/>
    <w:rsid w:val="37ED0FEC"/>
    <w:rsid w:val="38095EF6"/>
    <w:rsid w:val="381667C7"/>
    <w:rsid w:val="38219A9A"/>
    <w:rsid w:val="382DBA38"/>
    <w:rsid w:val="383F4068"/>
    <w:rsid w:val="383FA9D2"/>
    <w:rsid w:val="384A06E5"/>
    <w:rsid w:val="385487A1"/>
    <w:rsid w:val="3860A2F0"/>
    <w:rsid w:val="386AA246"/>
    <w:rsid w:val="3896D137"/>
    <w:rsid w:val="38B669FE"/>
    <w:rsid w:val="38BBC733"/>
    <w:rsid w:val="38BD53DA"/>
    <w:rsid w:val="38BDE315"/>
    <w:rsid w:val="38D76E4C"/>
    <w:rsid w:val="38D8DD3E"/>
    <w:rsid w:val="391D64D3"/>
    <w:rsid w:val="39230D3E"/>
    <w:rsid w:val="3923E35A"/>
    <w:rsid w:val="39297D59"/>
    <w:rsid w:val="3947A42C"/>
    <w:rsid w:val="394E0677"/>
    <w:rsid w:val="39556DA3"/>
    <w:rsid w:val="3976EDE6"/>
    <w:rsid w:val="397B772F"/>
    <w:rsid w:val="39996C59"/>
    <w:rsid w:val="399F36AE"/>
    <w:rsid w:val="39C37170"/>
    <w:rsid w:val="39C3F11C"/>
    <w:rsid w:val="39C4502C"/>
    <w:rsid w:val="39E57784"/>
    <w:rsid w:val="39EB2FB5"/>
    <w:rsid w:val="39F8B36E"/>
    <w:rsid w:val="3A00D7D8"/>
    <w:rsid w:val="3A07B46D"/>
    <w:rsid w:val="3A0DB031"/>
    <w:rsid w:val="3A78B7F5"/>
    <w:rsid w:val="3A7A3E16"/>
    <w:rsid w:val="3B03CBBE"/>
    <w:rsid w:val="3B1C5808"/>
    <w:rsid w:val="3B29D1A2"/>
    <w:rsid w:val="3B4278F7"/>
    <w:rsid w:val="3B4D6351"/>
    <w:rsid w:val="3B68DD96"/>
    <w:rsid w:val="3B6BA583"/>
    <w:rsid w:val="3B71BECD"/>
    <w:rsid w:val="3B77961A"/>
    <w:rsid w:val="3B90EDAA"/>
    <w:rsid w:val="3B963E07"/>
    <w:rsid w:val="3BB7D060"/>
    <w:rsid w:val="3BBCBEDF"/>
    <w:rsid w:val="3BBD18F1"/>
    <w:rsid w:val="3BE3C4DB"/>
    <w:rsid w:val="3BF22FE7"/>
    <w:rsid w:val="3BF6A5FE"/>
    <w:rsid w:val="3C0C944A"/>
    <w:rsid w:val="3C1FA6D0"/>
    <w:rsid w:val="3C26C1EB"/>
    <w:rsid w:val="3C327B22"/>
    <w:rsid w:val="3C4CD52C"/>
    <w:rsid w:val="3C5B92CE"/>
    <w:rsid w:val="3C5BD710"/>
    <w:rsid w:val="3C699629"/>
    <w:rsid w:val="3C78B401"/>
    <w:rsid w:val="3C8E4752"/>
    <w:rsid w:val="3C9182A2"/>
    <w:rsid w:val="3C92046F"/>
    <w:rsid w:val="3C9DF108"/>
    <w:rsid w:val="3CF32996"/>
    <w:rsid w:val="3D0307F8"/>
    <w:rsid w:val="3D291D14"/>
    <w:rsid w:val="3D39C6D5"/>
    <w:rsid w:val="3D3FDA99"/>
    <w:rsid w:val="3D5D9654"/>
    <w:rsid w:val="3D60785F"/>
    <w:rsid w:val="3D68552A"/>
    <w:rsid w:val="3D787A4E"/>
    <w:rsid w:val="3D79412E"/>
    <w:rsid w:val="3DA4752E"/>
    <w:rsid w:val="3DEA41F4"/>
    <w:rsid w:val="3DF794E0"/>
    <w:rsid w:val="3E5EEEFC"/>
    <w:rsid w:val="3E7A2076"/>
    <w:rsid w:val="3E7E7D31"/>
    <w:rsid w:val="3EAE133F"/>
    <w:rsid w:val="3EC225A0"/>
    <w:rsid w:val="3EE03DF0"/>
    <w:rsid w:val="3EE17BBF"/>
    <w:rsid w:val="3EF609A1"/>
    <w:rsid w:val="3F1ECA22"/>
    <w:rsid w:val="3F2E8471"/>
    <w:rsid w:val="3F4C9D8D"/>
    <w:rsid w:val="3F6668D1"/>
    <w:rsid w:val="3F86D15D"/>
    <w:rsid w:val="3F95F1A4"/>
    <w:rsid w:val="3F971C4E"/>
    <w:rsid w:val="3FF27B1E"/>
    <w:rsid w:val="401D3AB3"/>
    <w:rsid w:val="402360CC"/>
    <w:rsid w:val="4030F368"/>
    <w:rsid w:val="40572682"/>
    <w:rsid w:val="40577719"/>
    <w:rsid w:val="405A9F26"/>
    <w:rsid w:val="4067246D"/>
    <w:rsid w:val="40CD7146"/>
    <w:rsid w:val="40D4E109"/>
    <w:rsid w:val="40F8E5CB"/>
    <w:rsid w:val="40FF66F5"/>
    <w:rsid w:val="4109705D"/>
    <w:rsid w:val="415F050C"/>
    <w:rsid w:val="416A493C"/>
    <w:rsid w:val="418A9306"/>
    <w:rsid w:val="418C3607"/>
    <w:rsid w:val="419E7E6E"/>
    <w:rsid w:val="41BCC51E"/>
    <w:rsid w:val="420B175B"/>
    <w:rsid w:val="423173ED"/>
    <w:rsid w:val="423EF2D4"/>
    <w:rsid w:val="42526A3F"/>
    <w:rsid w:val="425B2269"/>
    <w:rsid w:val="426DD75D"/>
    <w:rsid w:val="42830461"/>
    <w:rsid w:val="431FFD93"/>
    <w:rsid w:val="43219868"/>
    <w:rsid w:val="432FFBAB"/>
    <w:rsid w:val="4335CE28"/>
    <w:rsid w:val="434D7CC7"/>
    <w:rsid w:val="43585594"/>
    <w:rsid w:val="435AA921"/>
    <w:rsid w:val="4389EADC"/>
    <w:rsid w:val="43A3B445"/>
    <w:rsid w:val="43EE7001"/>
    <w:rsid w:val="44092263"/>
    <w:rsid w:val="440AFE8C"/>
    <w:rsid w:val="441DD771"/>
    <w:rsid w:val="443E1BFD"/>
    <w:rsid w:val="444A30C8"/>
    <w:rsid w:val="446A510E"/>
    <w:rsid w:val="44779025"/>
    <w:rsid w:val="44813150"/>
    <w:rsid w:val="4498E035"/>
    <w:rsid w:val="44AC4BF4"/>
    <w:rsid w:val="44C5AE31"/>
    <w:rsid w:val="44D62BF6"/>
    <w:rsid w:val="44DDD41C"/>
    <w:rsid w:val="44F88176"/>
    <w:rsid w:val="44FF9D66"/>
    <w:rsid w:val="450B9837"/>
    <w:rsid w:val="451D9B91"/>
    <w:rsid w:val="4527AEFC"/>
    <w:rsid w:val="452E4E4A"/>
    <w:rsid w:val="4546AE0F"/>
    <w:rsid w:val="45473AEE"/>
    <w:rsid w:val="454B904F"/>
    <w:rsid w:val="45594698"/>
    <w:rsid w:val="455D5799"/>
    <w:rsid w:val="45774233"/>
    <w:rsid w:val="45AADF1C"/>
    <w:rsid w:val="45C52DC3"/>
    <w:rsid w:val="46223F1D"/>
    <w:rsid w:val="46279924"/>
    <w:rsid w:val="46299FF4"/>
    <w:rsid w:val="465A2711"/>
    <w:rsid w:val="46643255"/>
    <w:rsid w:val="468B65BC"/>
    <w:rsid w:val="468CDE06"/>
    <w:rsid w:val="468F8E5D"/>
    <w:rsid w:val="46B09CAC"/>
    <w:rsid w:val="46B601EA"/>
    <w:rsid w:val="46CC8A7D"/>
    <w:rsid w:val="472711BD"/>
    <w:rsid w:val="47935C2C"/>
    <w:rsid w:val="479D32BF"/>
    <w:rsid w:val="47A56D3D"/>
    <w:rsid w:val="47A9CCE9"/>
    <w:rsid w:val="47AB6F2B"/>
    <w:rsid w:val="47BA6490"/>
    <w:rsid w:val="47EDEBAF"/>
    <w:rsid w:val="4811E3D8"/>
    <w:rsid w:val="4828A69E"/>
    <w:rsid w:val="482A09F9"/>
    <w:rsid w:val="487A2342"/>
    <w:rsid w:val="489BCE9F"/>
    <w:rsid w:val="48AF4BA9"/>
    <w:rsid w:val="48E50952"/>
    <w:rsid w:val="490FB347"/>
    <w:rsid w:val="4911FCDF"/>
    <w:rsid w:val="4942C2A3"/>
    <w:rsid w:val="498D1E28"/>
    <w:rsid w:val="499304E9"/>
    <w:rsid w:val="499B934A"/>
    <w:rsid w:val="49A06314"/>
    <w:rsid w:val="49A208B5"/>
    <w:rsid w:val="49A3EBF5"/>
    <w:rsid w:val="49B1222E"/>
    <w:rsid w:val="49C66CCA"/>
    <w:rsid w:val="49DF9527"/>
    <w:rsid w:val="49F61A29"/>
    <w:rsid w:val="49F811E6"/>
    <w:rsid w:val="4A0E16BC"/>
    <w:rsid w:val="4A3A413B"/>
    <w:rsid w:val="4A482334"/>
    <w:rsid w:val="4A5871D4"/>
    <w:rsid w:val="4A823662"/>
    <w:rsid w:val="4A8D4B35"/>
    <w:rsid w:val="4ABEE08B"/>
    <w:rsid w:val="4ABF1317"/>
    <w:rsid w:val="4AC8E28D"/>
    <w:rsid w:val="4AD9293B"/>
    <w:rsid w:val="4AEBC267"/>
    <w:rsid w:val="4B5D292A"/>
    <w:rsid w:val="4B6A5AE2"/>
    <w:rsid w:val="4B808B16"/>
    <w:rsid w:val="4B8CEDF9"/>
    <w:rsid w:val="4B998D7F"/>
    <w:rsid w:val="4BAAB73F"/>
    <w:rsid w:val="4BAC612F"/>
    <w:rsid w:val="4BEF9A3C"/>
    <w:rsid w:val="4C057C43"/>
    <w:rsid w:val="4C175098"/>
    <w:rsid w:val="4C1EF6ED"/>
    <w:rsid w:val="4C2EED70"/>
    <w:rsid w:val="4C324EE1"/>
    <w:rsid w:val="4C54C089"/>
    <w:rsid w:val="4C6744FA"/>
    <w:rsid w:val="4C7A0ED8"/>
    <w:rsid w:val="4C974ACC"/>
    <w:rsid w:val="4CA89FE3"/>
    <w:rsid w:val="4CB4B2CB"/>
    <w:rsid w:val="4CEAEB34"/>
    <w:rsid w:val="4CF830AA"/>
    <w:rsid w:val="4D0134B8"/>
    <w:rsid w:val="4D05D34C"/>
    <w:rsid w:val="4D16444B"/>
    <w:rsid w:val="4D452160"/>
    <w:rsid w:val="4D5F90BC"/>
    <w:rsid w:val="4D8C748B"/>
    <w:rsid w:val="4D956058"/>
    <w:rsid w:val="4DA142EF"/>
    <w:rsid w:val="4DAE1ADF"/>
    <w:rsid w:val="4DAEB288"/>
    <w:rsid w:val="4DCF8E8C"/>
    <w:rsid w:val="4DE572C3"/>
    <w:rsid w:val="4E194E02"/>
    <w:rsid w:val="4E3223EE"/>
    <w:rsid w:val="4E4D3DD4"/>
    <w:rsid w:val="4E6688BC"/>
    <w:rsid w:val="4E822AFC"/>
    <w:rsid w:val="4E874AF0"/>
    <w:rsid w:val="4E9A935A"/>
    <w:rsid w:val="4EABB7FD"/>
    <w:rsid w:val="4EB40F6B"/>
    <w:rsid w:val="4EBFDEAD"/>
    <w:rsid w:val="4EF28914"/>
    <w:rsid w:val="4EFB8195"/>
    <w:rsid w:val="4F0EC61F"/>
    <w:rsid w:val="4F1D1B23"/>
    <w:rsid w:val="4F35D719"/>
    <w:rsid w:val="4F40C89B"/>
    <w:rsid w:val="4F4BE56A"/>
    <w:rsid w:val="4F6000AA"/>
    <w:rsid w:val="4F838FE4"/>
    <w:rsid w:val="4F8FEAA1"/>
    <w:rsid w:val="4F9B0EF3"/>
    <w:rsid w:val="4FA618B4"/>
    <w:rsid w:val="502CA0A2"/>
    <w:rsid w:val="5030D490"/>
    <w:rsid w:val="5034ECAE"/>
    <w:rsid w:val="50480F65"/>
    <w:rsid w:val="5052DA36"/>
    <w:rsid w:val="506F4F17"/>
    <w:rsid w:val="509648AB"/>
    <w:rsid w:val="509BC080"/>
    <w:rsid w:val="50C32A40"/>
    <w:rsid w:val="50D1CE2E"/>
    <w:rsid w:val="50DE259A"/>
    <w:rsid w:val="50F82B4D"/>
    <w:rsid w:val="5101B849"/>
    <w:rsid w:val="510B5988"/>
    <w:rsid w:val="5140ADCA"/>
    <w:rsid w:val="516B1DE1"/>
    <w:rsid w:val="517EA61D"/>
    <w:rsid w:val="5185DE81"/>
    <w:rsid w:val="518BB02B"/>
    <w:rsid w:val="519352B4"/>
    <w:rsid w:val="51AC444A"/>
    <w:rsid w:val="51CBB316"/>
    <w:rsid w:val="5201FDB6"/>
    <w:rsid w:val="521143A7"/>
    <w:rsid w:val="5215D688"/>
    <w:rsid w:val="523B996A"/>
    <w:rsid w:val="524D894F"/>
    <w:rsid w:val="524DF7A6"/>
    <w:rsid w:val="526CE7AC"/>
    <w:rsid w:val="52701115"/>
    <w:rsid w:val="527C1E97"/>
    <w:rsid w:val="52881DF7"/>
    <w:rsid w:val="529B2C9B"/>
    <w:rsid w:val="52A48126"/>
    <w:rsid w:val="52B07885"/>
    <w:rsid w:val="52B72428"/>
    <w:rsid w:val="52B78905"/>
    <w:rsid w:val="52BAD5F7"/>
    <w:rsid w:val="52D1F956"/>
    <w:rsid w:val="52F96145"/>
    <w:rsid w:val="52FF5D0E"/>
    <w:rsid w:val="531D3F9E"/>
    <w:rsid w:val="5326D041"/>
    <w:rsid w:val="5329EAB7"/>
    <w:rsid w:val="5342A832"/>
    <w:rsid w:val="534D4662"/>
    <w:rsid w:val="5353E6FC"/>
    <w:rsid w:val="53675947"/>
    <w:rsid w:val="539623C7"/>
    <w:rsid w:val="53A19609"/>
    <w:rsid w:val="53C69AD8"/>
    <w:rsid w:val="53D427CD"/>
    <w:rsid w:val="53F50204"/>
    <w:rsid w:val="53FDC776"/>
    <w:rsid w:val="540982DF"/>
    <w:rsid w:val="541C010D"/>
    <w:rsid w:val="5424843D"/>
    <w:rsid w:val="543D2AD4"/>
    <w:rsid w:val="54704DF1"/>
    <w:rsid w:val="547B2CC8"/>
    <w:rsid w:val="54807C5F"/>
    <w:rsid w:val="54A4D51A"/>
    <w:rsid w:val="54D59D9C"/>
    <w:rsid w:val="54E06594"/>
    <w:rsid w:val="551A8ADA"/>
    <w:rsid w:val="551F1AD2"/>
    <w:rsid w:val="5525B983"/>
    <w:rsid w:val="5578A1E8"/>
    <w:rsid w:val="557B0C45"/>
    <w:rsid w:val="55A475F5"/>
    <w:rsid w:val="55A54038"/>
    <w:rsid w:val="55A84797"/>
    <w:rsid w:val="55BD5DD2"/>
    <w:rsid w:val="55CA694A"/>
    <w:rsid w:val="55CEEC51"/>
    <w:rsid w:val="55E41741"/>
    <w:rsid w:val="560875EF"/>
    <w:rsid w:val="562256CB"/>
    <w:rsid w:val="563F0EA7"/>
    <w:rsid w:val="568FC800"/>
    <w:rsid w:val="569051E2"/>
    <w:rsid w:val="569AC394"/>
    <w:rsid w:val="56A39523"/>
    <w:rsid w:val="56B0273E"/>
    <w:rsid w:val="56B68130"/>
    <w:rsid w:val="56E372F9"/>
    <w:rsid w:val="5708F7D0"/>
    <w:rsid w:val="572618AD"/>
    <w:rsid w:val="57286B6D"/>
    <w:rsid w:val="575163EC"/>
    <w:rsid w:val="575B904B"/>
    <w:rsid w:val="57925A41"/>
    <w:rsid w:val="57987686"/>
    <w:rsid w:val="57B1C57C"/>
    <w:rsid w:val="57F360A4"/>
    <w:rsid w:val="58017D55"/>
    <w:rsid w:val="5805506E"/>
    <w:rsid w:val="581566C0"/>
    <w:rsid w:val="5837E0EC"/>
    <w:rsid w:val="5860CB52"/>
    <w:rsid w:val="586FE299"/>
    <w:rsid w:val="587BE978"/>
    <w:rsid w:val="587E4A78"/>
    <w:rsid w:val="5881F4AB"/>
    <w:rsid w:val="5890E6B4"/>
    <w:rsid w:val="5897830B"/>
    <w:rsid w:val="58993D14"/>
    <w:rsid w:val="589E65E1"/>
    <w:rsid w:val="58B1BD5C"/>
    <w:rsid w:val="58BC25BE"/>
    <w:rsid w:val="58EC568A"/>
    <w:rsid w:val="591C256B"/>
    <w:rsid w:val="5936AD7C"/>
    <w:rsid w:val="5947143E"/>
    <w:rsid w:val="597369BC"/>
    <w:rsid w:val="59929981"/>
    <w:rsid w:val="59A34C71"/>
    <w:rsid w:val="59AE07D3"/>
    <w:rsid w:val="59C366B8"/>
    <w:rsid w:val="59C7B850"/>
    <w:rsid w:val="59D28A20"/>
    <w:rsid w:val="59DE1B72"/>
    <w:rsid w:val="59EC1FDE"/>
    <w:rsid w:val="5A0786DB"/>
    <w:rsid w:val="5A17768B"/>
    <w:rsid w:val="5A259A42"/>
    <w:rsid w:val="5A2E29B0"/>
    <w:rsid w:val="5A31120E"/>
    <w:rsid w:val="5A4D7D8C"/>
    <w:rsid w:val="5A5A2C38"/>
    <w:rsid w:val="5A6C8E79"/>
    <w:rsid w:val="5A9D9693"/>
    <w:rsid w:val="5AC8B0BC"/>
    <w:rsid w:val="5ADD5655"/>
    <w:rsid w:val="5AFE7846"/>
    <w:rsid w:val="5B143AC6"/>
    <w:rsid w:val="5B175669"/>
    <w:rsid w:val="5B1DEB81"/>
    <w:rsid w:val="5B36CE2C"/>
    <w:rsid w:val="5B3D7853"/>
    <w:rsid w:val="5B5CE439"/>
    <w:rsid w:val="5B70CB68"/>
    <w:rsid w:val="5B7B0E34"/>
    <w:rsid w:val="5B8867B1"/>
    <w:rsid w:val="5B8C5DA6"/>
    <w:rsid w:val="5BB57DFC"/>
    <w:rsid w:val="5BC1CFDE"/>
    <w:rsid w:val="5BD08B32"/>
    <w:rsid w:val="5BD2EDE1"/>
    <w:rsid w:val="5BD773C2"/>
    <w:rsid w:val="5BD9E143"/>
    <w:rsid w:val="5BE58DBD"/>
    <w:rsid w:val="5C165CE3"/>
    <w:rsid w:val="5C1D83C3"/>
    <w:rsid w:val="5C28539D"/>
    <w:rsid w:val="5C2B6B70"/>
    <w:rsid w:val="5C2C147D"/>
    <w:rsid w:val="5C53C0C6"/>
    <w:rsid w:val="5C54A973"/>
    <w:rsid w:val="5C7AB7FF"/>
    <w:rsid w:val="5C89BCFC"/>
    <w:rsid w:val="5C8BEC4E"/>
    <w:rsid w:val="5CA7B4C7"/>
    <w:rsid w:val="5CAC4B30"/>
    <w:rsid w:val="5CE80FAA"/>
    <w:rsid w:val="5D042971"/>
    <w:rsid w:val="5D1129E5"/>
    <w:rsid w:val="5D2489B6"/>
    <w:rsid w:val="5D2F949E"/>
    <w:rsid w:val="5D36246C"/>
    <w:rsid w:val="5D3EF393"/>
    <w:rsid w:val="5D46B56E"/>
    <w:rsid w:val="5D976324"/>
    <w:rsid w:val="5DA55082"/>
    <w:rsid w:val="5DF76F89"/>
    <w:rsid w:val="5E06AEB1"/>
    <w:rsid w:val="5E414092"/>
    <w:rsid w:val="5E95BAC6"/>
    <w:rsid w:val="5EB10876"/>
    <w:rsid w:val="5ED7CF1D"/>
    <w:rsid w:val="5EDD3D0B"/>
    <w:rsid w:val="5EE7815F"/>
    <w:rsid w:val="5F06BD1A"/>
    <w:rsid w:val="5F507BF3"/>
    <w:rsid w:val="5F7082F9"/>
    <w:rsid w:val="5F793FFA"/>
    <w:rsid w:val="5F83488E"/>
    <w:rsid w:val="5F95E5EC"/>
    <w:rsid w:val="5FAD6458"/>
    <w:rsid w:val="5FC3A523"/>
    <w:rsid w:val="5FD081A2"/>
    <w:rsid w:val="5FD6A800"/>
    <w:rsid w:val="5FDD1084"/>
    <w:rsid w:val="5FFF2CFE"/>
    <w:rsid w:val="600BCC35"/>
    <w:rsid w:val="60218C72"/>
    <w:rsid w:val="6049ACDD"/>
    <w:rsid w:val="604D160C"/>
    <w:rsid w:val="607FC13B"/>
    <w:rsid w:val="608AAE5D"/>
    <w:rsid w:val="608FAD00"/>
    <w:rsid w:val="6093620C"/>
    <w:rsid w:val="612B0014"/>
    <w:rsid w:val="6134226A"/>
    <w:rsid w:val="614FD7FE"/>
    <w:rsid w:val="61568503"/>
    <w:rsid w:val="617D6CF0"/>
    <w:rsid w:val="61809241"/>
    <w:rsid w:val="61A38FF8"/>
    <w:rsid w:val="61ACC9DB"/>
    <w:rsid w:val="61B6D1CB"/>
    <w:rsid w:val="61DE36BD"/>
    <w:rsid w:val="62033440"/>
    <w:rsid w:val="62120BB9"/>
    <w:rsid w:val="621876D7"/>
    <w:rsid w:val="622300F6"/>
    <w:rsid w:val="62253BF3"/>
    <w:rsid w:val="624B8763"/>
    <w:rsid w:val="626E9068"/>
    <w:rsid w:val="62731524"/>
    <w:rsid w:val="6276CB50"/>
    <w:rsid w:val="6290E5BE"/>
    <w:rsid w:val="629DF00C"/>
    <w:rsid w:val="62A2BD78"/>
    <w:rsid w:val="62EC3E56"/>
    <w:rsid w:val="63051514"/>
    <w:rsid w:val="632157FA"/>
    <w:rsid w:val="632AC783"/>
    <w:rsid w:val="6331B918"/>
    <w:rsid w:val="6337533B"/>
    <w:rsid w:val="633B877B"/>
    <w:rsid w:val="6364C467"/>
    <w:rsid w:val="6387ABC7"/>
    <w:rsid w:val="638B9922"/>
    <w:rsid w:val="63928736"/>
    <w:rsid w:val="63996A95"/>
    <w:rsid w:val="63A7410B"/>
    <w:rsid w:val="63CEC2FF"/>
    <w:rsid w:val="63E76C26"/>
    <w:rsid w:val="63F3560A"/>
    <w:rsid w:val="63FBD176"/>
    <w:rsid w:val="63FFA1FB"/>
    <w:rsid w:val="6400780D"/>
    <w:rsid w:val="640D8039"/>
    <w:rsid w:val="64108728"/>
    <w:rsid w:val="641D6698"/>
    <w:rsid w:val="64374137"/>
    <w:rsid w:val="6473343B"/>
    <w:rsid w:val="648556E3"/>
    <w:rsid w:val="64A8C30F"/>
    <w:rsid w:val="64ACBC6A"/>
    <w:rsid w:val="64BA9545"/>
    <w:rsid w:val="64C9D314"/>
    <w:rsid w:val="64CE7544"/>
    <w:rsid w:val="6512E5F9"/>
    <w:rsid w:val="655E0773"/>
    <w:rsid w:val="65671448"/>
    <w:rsid w:val="65673A0B"/>
    <w:rsid w:val="656A247C"/>
    <w:rsid w:val="656DDE11"/>
    <w:rsid w:val="657E038B"/>
    <w:rsid w:val="6584A6A3"/>
    <w:rsid w:val="659E0FE6"/>
    <w:rsid w:val="65A57C6F"/>
    <w:rsid w:val="65A652C6"/>
    <w:rsid w:val="65A9BE01"/>
    <w:rsid w:val="65BF008D"/>
    <w:rsid w:val="65CC7220"/>
    <w:rsid w:val="65FDC916"/>
    <w:rsid w:val="6610DF09"/>
    <w:rsid w:val="66273618"/>
    <w:rsid w:val="662E720D"/>
    <w:rsid w:val="662FDF13"/>
    <w:rsid w:val="663203F2"/>
    <w:rsid w:val="663C31BD"/>
    <w:rsid w:val="664837DC"/>
    <w:rsid w:val="665D5EA5"/>
    <w:rsid w:val="6665770A"/>
    <w:rsid w:val="6675D80C"/>
    <w:rsid w:val="667925D1"/>
    <w:rsid w:val="667DEA36"/>
    <w:rsid w:val="66AC1FB5"/>
    <w:rsid w:val="66BA1785"/>
    <w:rsid w:val="66C04327"/>
    <w:rsid w:val="66F46585"/>
    <w:rsid w:val="67065B4B"/>
    <w:rsid w:val="6718B59F"/>
    <w:rsid w:val="67216BE0"/>
    <w:rsid w:val="672DB90A"/>
    <w:rsid w:val="674811BB"/>
    <w:rsid w:val="676A5E65"/>
    <w:rsid w:val="676AA582"/>
    <w:rsid w:val="6775E7CC"/>
    <w:rsid w:val="677B34D4"/>
    <w:rsid w:val="6794CD57"/>
    <w:rsid w:val="67A7BBF0"/>
    <w:rsid w:val="67BA63C1"/>
    <w:rsid w:val="67F7486B"/>
    <w:rsid w:val="67F850FA"/>
    <w:rsid w:val="6801EA65"/>
    <w:rsid w:val="681C38AA"/>
    <w:rsid w:val="68380990"/>
    <w:rsid w:val="6859D6DF"/>
    <w:rsid w:val="6866AE0F"/>
    <w:rsid w:val="686B0ED1"/>
    <w:rsid w:val="6874FF2E"/>
    <w:rsid w:val="688CD01F"/>
    <w:rsid w:val="68A2C81A"/>
    <w:rsid w:val="68BD67DE"/>
    <w:rsid w:val="68C2FC68"/>
    <w:rsid w:val="68D8B529"/>
    <w:rsid w:val="68DD3117"/>
    <w:rsid w:val="68DF5073"/>
    <w:rsid w:val="68E34AEE"/>
    <w:rsid w:val="68F4E61D"/>
    <w:rsid w:val="68F70034"/>
    <w:rsid w:val="6902AC17"/>
    <w:rsid w:val="692AF5C8"/>
    <w:rsid w:val="696DF391"/>
    <w:rsid w:val="69740331"/>
    <w:rsid w:val="69A5C857"/>
    <w:rsid w:val="69B3C429"/>
    <w:rsid w:val="69F4CBCD"/>
    <w:rsid w:val="6A240BCD"/>
    <w:rsid w:val="6A26D38B"/>
    <w:rsid w:val="6A8EE02D"/>
    <w:rsid w:val="6AC29241"/>
    <w:rsid w:val="6AC2D867"/>
    <w:rsid w:val="6AD0CBEF"/>
    <w:rsid w:val="6AD3B5D3"/>
    <w:rsid w:val="6AD6B96B"/>
    <w:rsid w:val="6AD7107B"/>
    <w:rsid w:val="6AEA2224"/>
    <w:rsid w:val="6AEB636B"/>
    <w:rsid w:val="6B0430B7"/>
    <w:rsid w:val="6B067AAE"/>
    <w:rsid w:val="6B07319D"/>
    <w:rsid w:val="6B0F5542"/>
    <w:rsid w:val="6B1DF170"/>
    <w:rsid w:val="6B29F640"/>
    <w:rsid w:val="6B2F097F"/>
    <w:rsid w:val="6B3DA6B8"/>
    <w:rsid w:val="6B44091E"/>
    <w:rsid w:val="6B4682FA"/>
    <w:rsid w:val="6B6183B9"/>
    <w:rsid w:val="6B6C1524"/>
    <w:rsid w:val="6B736B81"/>
    <w:rsid w:val="6B7F9B58"/>
    <w:rsid w:val="6B7FE17C"/>
    <w:rsid w:val="6B8289DD"/>
    <w:rsid w:val="6BC4D73F"/>
    <w:rsid w:val="6BCA8603"/>
    <w:rsid w:val="6BD08954"/>
    <w:rsid w:val="6BD2A0F1"/>
    <w:rsid w:val="6BDDE503"/>
    <w:rsid w:val="6BE695DD"/>
    <w:rsid w:val="6BE6B6B9"/>
    <w:rsid w:val="6BF89158"/>
    <w:rsid w:val="6C33EA14"/>
    <w:rsid w:val="6C34D481"/>
    <w:rsid w:val="6C48BA15"/>
    <w:rsid w:val="6C5E1E97"/>
    <w:rsid w:val="6C82597B"/>
    <w:rsid w:val="6CD0B0B1"/>
    <w:rsid w:val="6CD46DF7"/>
    <w:rsid w:val="6CE567BB"/>
    <w:rsid w:val="6D20BEB1"/>
    <w:rsid w:val="6D278DD3"/>
    <w:rsid w:val="6D32F267"/>
    <w:rsid w:val="6D424196"/>
    <w:rsid w:val="6D4B1ED8"/>
    <w:rsid w:val="6D565DEE"/>
    <w:rsid w:val="6D64A213"/>
    <w:rsid w:val="6D90DCD1"/>
    <w:rsid w:val="6D9C8A6F"/>
    <w:rsid w:val="6DADF9F7"/>
    <w:rsid w:val="6E24633C"/>
    <w:rsid w:val="6E8AD176"/>
    <w:rsid w:val="6E8E7824"/>
    <w:rsid w:val="6E90BC1C"/>
    <w:rsid w:val="6E961080"/>
    <w:rsid w:val="6EAD36C7"/>
    <w:rsid w:val="6EB3E85B"/>
    <w:rsid w:val="6EBCCDC5"/>
    <w:rsid w:val="6EBD417F"/>
    <w:rsid w:val="6EF7FBD2"/>
    <w:rsid w:val="6F08BAF5"/>
    <w:rsid w:val="6F10AAEC"/>
    <w:rsid w:val="6F1E0737"/>
    <w:rsid w:val="6F481755"/>
    <w:rsid w:val="6F504E43"/>
    <w:rsid w:val="6F5A2FCE"/>
    <w:rsid w:val="6F746431"/>
    <w:rsid w:val="6FA440F7"/>
    <w:rsid w:val="6FA83090"/>
    <w:rsid w:val="6FB590CB"/>
    <w:rsid w:val="6FB66ACF"/>
    <w:rsid w:val="6FBF55DB"/>
    <w:rsid w:val="6FC66B40"/>
    <w:rsid w:val="6FE972D0"/>
    <w:rsid w:val="700CD2BB"/>
    <w:rsid w:val="7017E7DE"/>
    <w:rsid w:val="701CA50E"/>
    <w:rsid w:val="70214341"/>
    <w:rsid w:val="7027D3C9"/>
    <w:rsid w:val="70309755"/>
    <w:rsid w:val="70588E0A"/>
    <w:rsid w:val="7060CCCA"/>
    <w:rsid w:val="708230A3"/>
    <w:rsid w:val="7083ADC6"/>
    <w:rsid w:val="70ACF2D5"/>
    <w:rsid w:val="70B2A094"/>
    <w:rsid w:val="70CEAF9D"/>
    <w:rsid w:val="70CF0DA4"/>
    <w:rsid w:val="70D31D2E"/>
    <w:rsid w:val="70E5671A"/>
    <w:rsid w:val="70EB97EE"/>
    <w:rsid w:val="7102A272"/>
    <w:rsid w:val="712ED89B"/>
    <w:rsid w:val="713471FD"/>
    <w:rsid w:val="7137080B"/>
    <w:rsid w:val="71373203"/>
    <w:rsid w:val="7159FEC1"/>
    <w:rsid w:val="7165F96B"/>
    <w:rsid w:val="71662EB6"/>
    <w:rsid w:val="7177A2E7"/>
    <w:rsid w:val="719D517E"/>
    <w:rsid w:val="71B49646"/>
    <w:rsid w:val="71BBE203"/>
    <w:rsid w:val="71C20384"/>
    <w:rsid w:val="71CB1AA2"/>
    <w:rsid w:val="71DF8168"/>
    <w:rsid w:val="720AD0A7"/>
    <w:rsid w:val="726CEAFA"/>
    <w:rsid w:val="72732D51"/>
    <w:rsid w:val="728201BB"/>
    <w:rsid w:val="72852191"/>
    <w:rsid w:val="729B670B"/>
    <w:rsid w:val="72D504DA"/>
    <w:rsid w:val="73012879"/>
    <w:rsid w:val="732FA5A2"/>
    <w:rsid w:val="7352743D"/>
    <w:rsid w:val="735587D7"/>
    <w:rsid w:val="73567DE6"/>
    <w:rsid w:val="7359DFDB"/>
    <w:rsid w:val="7375F3C3"/>
    <w:rsid w:val="737A0CA6"/>
    <w:rsid w:val="7394CCC3"/>
    <w:rsid w:val="7395D8A4"/>
    <w:rsid w:val="73968A85"/>
    <w:rsid w:val="739FB558"/>
    <w:rsid w:val="73C4E3FE"/>
    <w:rsid w:val="73CDEE33"/>
    <w:rsid w:val="73D13013"/>
    <w:rsid w:val="73D32F1E"/>
    <w:rsid w:val="73F282E7"/>
    <w:rsid w:val="7405F3B5"/>
    <w:rsid w:val="7406CE7F"/>
    <w:rsid w:val="741D0A51"/>
    <w:rsid w:val="74221481"/>
    <w:rsid w:val="74252C9B"/>
    <w:rsid w:val="74822A1D"/>
    <w:rsid w:val="749660ED"/>
    <w:rsid w:val="74AE14AF"/>
    <w:rsid w:val="74CA87DE"/>
    <w:rsid w:val="74D73C55"/>
    <w:rsid w:val="74DC32DD"/>
    <w:rsid w:val="74EA09EE"/>
    <w:rsid w:val="74EA7207"/>
    <w:rsid w:val="750A1C1C"/>
    <w:rsid w:val="75222351"/>
    <w:rsid w:val="75298DEF"/>
    <w:rsid w:val="756638EA"/>
    <w:rsid w:val="75983553"/>
    <w:rsid w:val="75A54746"/>
    <w:rsid w:val="75A85865"/>
    <w:rsid w:val="75F1BBD0"/>
    <w:rsid w:val="761B64C5"/>
    <w:rsid w:val="76525BFA"/>
    <w:rsid w:val="76556D94"/>
    <w:rsid w:val="7655B9B8"/>
    <w:rsid w:val="7657BED8"/>
    <w:rsid w:val="7670B280"/>
    <w:rsid w:val="768A0E8F"/>
    <w:rsid w:val="7693ED95"/>
    <w:rsid w:val="769672E8"/>
    <w:rsid w:val="76A6064E"/>
    <w:rsid w:val="76FCAD4E"/>
    <w:rsid w:val="77179EFF"/>
    <w:rsid w:val="773FFD49"/>
    <w:rsid w:val="774C923D"/>
    <w:rsid w:val="77604E4B"/>
    <w:rsid w:val="777CE51E"/>
    <w:rsid w:val="7781CFB4"/>
    <w:rsid w:val="779159A2"/>
    <w:rsid w:val="779D3646"/>
    <w:rsid w:val="77A1859A"/>
    <w:rsid w:val="77B7CD65"/>
    <w:rsid w:val="77CE4504"/>
    <w:rsid w:val="77E5A48A"/>
    <w:rsid w:val="77E889E9"/>
    <w:rsid w:val="780D0719"/>
    <w:rsid w:val="781C3F1E"/>
    <w:rsid w:val="7839D880"/>
    <w:rsid w:val="783D390C"/>
    <w:rsid w:val="78510F61"/>
    <w:rsid w:val="78759B7F"/>
    <w:rsid w:val="78C8DDBB"/>
    <w:rsid w:val="78F1A5D1"/>
    <w:rsid w:val="78F8DDFC"/>
    <w:rsid w:val="78FDC348"/>
    <w:rsid w:val="790730E1"/>
    <w:rsid w:val="791D0DBF"/>
    <w:rsid w:val="793E5B8E"/>
    <w:rsid w:val="7970D60A"/>
    <w:rsid w:val="7972050E"/>
    <w:rsid w:val="799A7D2F"/>
    <w:rsid w:val="79A69F4A"/>
    <w:rsid w:val="79AF5337"/>
    <w:rsid w:val="79CE5EA3"/>
    <w:rsid w:val="79D0DE75"/>
    <w:rsid w:val="79D919FB"/>
    <w:rsid w:val="79F79D9D"/>
    <w:rsid w:val="7A135589"/>
    <w:rsid w:val="7A15CB74"/>
    <w:rsid w:val="7A31CA38"/>
    <w:rsid w:val="7A46E15D"/>
    <w:rsid w:val="7A47820C"/>
    <w:rsid w:val="7A6A175A"/>
    <w:rsid w:val="7A6E1878"/>
    <w:rsid w:val="7A8A4DF2"/>
    <w:rsid w:val="7A8EC7DB"/>
    <w:rsid w:val="7A8F32E3"/>
    <w:rsid w:val="7ACB491E"/>
    <w:rsid w:val="7ADABEA3"/>
    <w:rsid w:val="7AFA5B67"/>
    <w:rsid w:val="7B0F4099"/>
    <w:rsid w:val="7B121A9A"/>
    <w:rsid w:val="7B15ACB4"/>
    <w:rsid w:val="7B1E6C9A"/>
    <w:rsid w:val="7B22C47B"/>
    <w:rsid w:val="7B32D758"/>
    <w:rsid w:val="7B413524"/>
    <w:rsid w:val="7B6E15E2"/>
    <w:rsid w:val="7B9EB81E"/>
    <w:rsid w:val="7BA76ACF"/>
    <w:rsid w:val="7BB1D354"/>
    <w:rsid w:val="7BE36A4B"/>
    <w:rsid w:val="7C0587D5"/>
    <w:rsid w:val="7C1DEFD5"/>
    <w:rsid w:val="7C223600"/>
    <w:rsid w:val="7C25453F"/>
    <w:rsid w:val="7C3FD12F"/>
    <w:rsid w:val="7C9BCFA8"/>
    <w:rsid w:val="7CB2E3C1"/>
    <w:rsid w:val="7CBEF52D"/>
    <w:rsid w:val="7D164A44"/>
    <w:rsid w:val="7D1864FD"/>
    <w:rsid w:val="7D26F4D1"/>
    <w:rsid w:val="7D4FC4B4"/>
    <w:rsid w:val="7D56676D"/>
    <w:rsid w:val="7D80BA91"/>
    <w:rsid w:val="7D8F8EB3"/>
    <w:rsid w:val="7D9080A9"/>
    <w:rsid w:val="7DBA6984"/>
    <w:rsid w:val="7DE477CA"/>
    <w:rsid w:val="7DE6F073"/>
    <w:rsid w:val="7DFF3D46"/>
    <w:rsid w:val="7E085EC8"/>
    <w:rsid w:val="7E173C6F"/>
    <w:rsid w:val="7E2152A5"/>
    <w:rsid w:val="7E242BB7"/>
    <w:rsid w:val="7E301E98"/>
    <w:rsid w:val="7E4BA1BA"/>
    <w:rsid w:val="7E98EF87"/>
    <w:rsid w:val="7E9BB3C5"/>
    <w:rsid w:val="7EA06581"/>
    <w:rsid w:val="7EBA6443"/>
    <w:rsid w:val="7EBF1A27"/>
    <w:rsid w:val="7ECC99F2"/>
    <w:rsid w:val="7ECD0F09"/>
    <w:rsid w:val="7ECF6086"/>
    <w:rsid w:val="7EDBD69E"/>
    <w:rsid w:val="7F0024E4"/>
    <w:rsid w:val="7F04D8C3"/>
    <w:rsid w:val="7F0BD61D"/>
    <w:rsid w:val="7F0CB560"/>
    <w:rsid w:val="7F116374"/>
    <w:rsid w:val="7F1D1A26"/>
    <w:rsid w:val="7F4E6631"/>
    <w:rsid w:val="7F658331"/>
    <w:rsid w:val="7F6C7378"/>
    <w:rsid w:val="7F869D7A"/>
    <w:rsid w:val="7F9B30A0"/>
    <w:rsid w:val="7FA39514"/>
    <w:rsid w:val="7FA8F33D"/>
    <w:rsid w:val="7FF8E0B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F7B34F6"/>
  <w15:docId w15:val="{E877BD32-B0BB-4B0F-B87B-A43CBEA31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US" w:eastAsia="en-US" w:bidi="ar-SA"/>
      </w:rPr>
    </w:rPrDefault>
    <w:pPrDefault>
      <w:pPr>
        <w:ind w:left="1584" w:hanging="432"/>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evel1"/>
    <w:next w:val="Normal"/>
    <w:link w:val="Heading1Char"/>
    <w:uiPriority w:val="99"/>
    <w:qFormat/>
    <w:rsid w:val="001C7CA6"/>
    <w:pPr>
      <w:jc w:val="left"/>
      <w:outlineLvl w:val="0"/>
    </w:pPr>
  </w:style>
  <w:style w:type="paragraph" w:styleId="Heading2">
    <w:name w:val="heading 2"/>
    <w:basedOn w:val="ListParagraph"/>
    <w:next w:val="Normal"/>
    <w:link w:val="Heading2Char"/>
    <w:autoRedefine/>
    <w:uiPriority w:val="99"/>
    <w:unhideWhenUsed/>
    <w:qFormat/>
    <w:rsid w:val="009A5F97"/>
    <w:pPr>
      <w:numPr>
        <w:ilvl w:val="1"/>
      </w:numPr>
      <w:spacing w:before="240"/>
      <w:outlineLvl w:val="1"/>
    </w:pPr>
    <w:rPr>
      <w:rFonts w:ascii="Arial" w:eastAsia="Arial" w:hAnsi="Arial" w:cs="Arial"/>
      <w:b/>
      <w:bCs/>
    </w:rPr>
  </w:style>
  <w:style w:type="paragraph" w:styleId="Heading3">
    <w:name w:val="heading 3"/>
    <w:basedOn w:val="Heading2"/>
    <w:next w:val="Heading4"/>
    <w:link w:val="Heading3Char"/>
    <w:uiPriority w:val="9"/>
    <w:unhideWhenUsed/>
    <w:qFormat/>
    <w:rsid w:val="00752E63"/>
    <w:pPr>
      <w:outlineLvl w:val="2"/>
    </w:pPr>
    <w:rPr>
      <w:b w:val="0"/>
      <w:bCs w:val="0"/>
      <w:caps/>
    </w:rPr>
  </w:style>
  <w:style w:type="paragraph" w:styleId="Heading4">
    <w:name w:val="heading 4"/>
    <w:basedOn w:val="Normal"/>
    <w:next w:val="Normal"/>
    <w:link w:val="Heading4Char"/>
    <w:uiPriority w:val="9"/>
    <w:semiHidden/>
    <w:unhideWhenUsed/>
    <w:qFormat/>
    <w:rsid w:val="00FB474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Heading4"/>
    <w:next w:val="Heading6"/>
    <w:link w:val="Heading5Char"/>
    <w:autoRedefine/>
    <w:unhideWhenUsed/>
    <w:qFormat/>
    <w:rsid w:val="00456630"/>
    <w:pPr>
      <w:numPr>
        <w:numId w:val="1"/>
      </w:numPr>
      <w:spacing w:after="120"/>
      <w:outlineLvl w:val="4"/>
    </w:pPr>
    <w:rPr>
      <w:rFonts w:asciiTheme="minorHAnsi" w:hAnsiTheme="minorHAnsi"/>
      <w:i w:val="0"/>
      <w:color w:val="auto"/>
    </w:rPr>
  </w:style>
  <w:style w:type="paragraph" w:styleId="Heading6">
    <w:name w:val="heading 6"/>
    <w:basedOn w:val="Normal"/>
    <w:next w:val="Normal"/>
    <w:link w:val="Heading6Char"/>
    <w:uiPriority w:val="99"/>
    <w:unhideWhenUsed/>
    <w:qFormat/>
    <w:rsid w:val="00FB4744"/>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Heading2"/>
    <w:next w:val="BodyText"/>
    <w:link w:val="Heading7Char"/>
    <w:uiPriority w:val="99"/>
    <w:qFormat/>
    <w:rsid w:val="006A1916"/>
    <w:pPr>
      <w:outlineLvl w:val="6"/>
    </w:pPr>
    <w:rPr>
      <w:rFonts w:ascii="Times New Roman" w:hAnsi="Times New Roman"/>
      <w:b w:val="0"/>
      <w:bCs w:val="0"/>
      <w:caps/>
      <w:kern w:val="28"/>
      <w:lang w:val="en"/>
    </w:rPr>
  </w:style>
  <w:style w:type="paragraph" w:styleId="Heading8">
    <w:name w:val="heading 8"/>
    <w:basedOn w:val="Heading4"/>
    <w:next w:val="BodyText"/>
    <w:link w:val="Heading8Char"/>
    <w:uiPriority w:val="99"/>
    <w:qFormat/>
    <w:rsid w:val="006A1916"/>
    <w:pPr>
      <w:keepNext w:val="0"/>
      <w:keepLines w:val="0"/>
      <w:tabs>
        <w:tab w:val="num" w:pos="936"/>
      </w:tabs>
      <w:spacing w:before="120"/>
      <w:ind w:left="936" w:hanging="936"/>
      <w:outlineLvl w:val="7"/>
    </w:pPr>
    <w:rPr>
      <w:rFonts w:ascii="Times New Roman" w:eastAsia="Times New Roman" w:hAnsi="Times New Roman" w:cs="Times New Roman"/>
      <w:bCs w:val="0"/>
      <w:i w:val="0"/>
      <w:iCs w:val="0"/>
      <w:color w:val="auto"/>
      <w:kern w:val="28"/>
      <w:sz w:val="24"/>
      <w:lang w:val="en"/>
    </w:rPr>
  </w:style>
  <w:style w:type="paragraph" w:styleId="Heading9">
    <w:name w:val="heading 9"/>
    <w:basedOn w:val="Heading4"/>
    <w:next w:val="BodyText"/>
    <w:link w:val="Heading9Char"/>
    <w:uiPriority w:val="99"/>
    <w:qFormat/>
    <w:rsid w:val="006A1916"/>
    <w:pPr>
      <w:keepNext w:val="0"/>
      <w:keepLines w:val="0"/>
      <w:tabs>
        <w:tab w:val="num" w:pos="1037"/>
      </w:tabs>
      <w:spacing w:before="120"/>
      <w:ind w:left="1037" w:hanging="1037"/>
      <w:outlineLvl w:val="8"/>
    </w:pPr>
    <w:rPr>
      <w:rFonts w:ascii="Times New Roman" w:eastAsia="Times New Roman" w:hAnsi="Times New Roman" w:cs="Times New Roman"/>
      <w:bCs w:val="0"/>
      <w:i w:val="0"/>
      <w:iCs w:val="0"/>
      <w:color w:val="auto"/>
      <w:kern w:val="28"/>
      <w:lang w:val="e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C7CA6"/>
    <w:rPr>
      <w:rFonts w:eastAsia="Times New Roman" w:cs="Times New Roman"/>
      <w:b/>
      <w:caps/>
      <w:sz w:val="20"/>
      <w:szCs w:val="20"/>
    </w:rPr>
  </w:style>
  <w:style w:type="character" w:customStyle="1" w:styleId="Heading2Char">
    <w:name w:val="Heading 2 Char"/>
    <w:basedOn w:val="DefaultParagraphFont"/>
    <w:link w:val="Heading2"/>
    <w:uiPriority w:val="99"/>
    <w:rsid w:val="009A5F97"/>
    <w:rPr>
      <w:rFonts w:ascii="Arial" w:eastAsia="Arial" w:hAnsi="Arial" w:cs="Arial"/>
      <w:b/>
      <w:bCs/>
    </w:rPr>
  </w:style>
  <w:style w:type="paragraph" w:styleId="ListParagraph">
    <w:name w:val="List Paragraph"/>
    <w:basedOn w:val="Normal"/>
    <w:autoRedefine/>
    <w:uiPriority w:val="34"/>
    <w:qFormat/>
    <w:rsid w:val="00605C3A"/>
    <w:pPr>
      <w:numPr>
        <w:ilvl w:val="2"/>
        <w:numId w:val="7"/>
      </w:numPr>
      <w:spacing w:before="120" w:after="120"/>
      <w:contextualSpacing/>
      <w:jc w:val="left"/>
    </w:pPr>
  </w:style>
  <w:style w:type="character" w:customStyle="1" w:styleId="Heading5Char">
    <w:name w:val="Heading 5 Char"/>
    <w:basedOn w:val="DefaultParagraphFont"/>
    <w:link w:val="Heading5"/>
    <w:rsid w:val="00456630"/>
    <w:rPr>
      <w:rFonts w:eastAsiaTheme="majorEastAsia" w:cstheme="majorBidi"/>
      <w:b/>
      <w:bCs/>
      <w:iCs/>
    </w:rPr>
  </w:style>
  <w:style w:type="character" w:customStyle="1" w:styleId="Heading3Char">
    <w:name w:val="Heading 3 Char"/>
    <w:basedOn w:val="DefaultParagraphFont"/>
    <w:link w:val="Heading3"/>
    <w:uiPriority w:val="9"/>
    <w:rsid w:val="00752E63"/>
    <w:rPr>
      <w:rFonts w:ascii="Arial" w:eastAsia="Arial" w:hAnsi="Arial" w:cs="Arial"/>
      <w:caps/>
    </w:rPr>
  </w:style>
  <w:style w:type="paragraph" w:customStyle="1" w:styleId="Level1">
    <w:name w:val="Level 1"/>
    <w:autoRedefine/>
    <w:rsid w:val="002207E7"/>
    <w:pPr>
      <w:widowControl w:val="0"/>
      <w:numPr>
        <w:numId w:val="3"/>
      </w:numPr>
      <w:autoSpaceDE w:val="0"/>
      <w:autoSpaceDN w:val="0"/>
      <w:adjustRightInd w:val="0"/>
      <w:spacing w:before="200" w:after="40"/>
    </w:pPr>
    <w:rPr>
      <w:rFonts w:eastAsia="Times New Roman" w:cs="Times New Roman"/>
      <w:b/>
      <w:caps/>
      <w:sz w:val="20"/>
      <w:szCs w:val="20"/>
    </w:rPr>
  </w:style>
  <w:style w:type="character" w:customStyle="1" w:styleId="Heading4Char">
    <w:name w:val="Heading 4 Char"/>
    <w:basedOn w:val="DefaultParagraphFont"/>
    <w:link w:val="Heading4"/>
    <w:uiPriority w:val="9"/>
    <w:semiHidden/>
    <w:rsid w:val="00FB4744"/>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FB4744"/>
    <w:rPr>
      <w:rFonts w:asciiTheme="majorHAnsi" w:eastAsiaTheme="majorEastAsia" w:hAnsiTheme="majorHAnsi" w:cstheme="majorBidi"/>
      <w:i/>
      <w:iCs/>
      <w:color w:val="243F60" w:themeColor="accent1" w:themeShade="7F"/>
    </w:rPr>
  </w:style>
  <w:style w:type="paragraph" w:customStyle="1" w:styleId="Level2">
    <w:name w:val="Level 2"/>
    <w:basedOn w:val="Level1"/>
    <w:autoRedefine/>
    <w:rsid w:val="003028B4"/>
    <w:pPr>
      <w:widowControl/>
      <w:numPr>
        <w:ilvl w:val="1"/>
        <w:numId w:val="5"/>
      </w:numPr>
      <w:tabs>
        <w:tab w:val="left" w:pos="54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 w:val="left" w:pos="9720"/>
        <w:tab w:val="left" w:pos="10260"/>
        <w:tab w:val="left" w:pos="10800"/>
        <w:tab w:val="left" w:pos="11340"/>
        <w:tab w:val="left" w:pos="11880"/>
      </w:tabs>
      <w:spacing w:before="0"/>
      <w:jc w:val="left"/>
    </w:pPr>
    <w:rPr>
      <w:b w:val="0"/>
    </w:rPr>
  </w:style>
  <w:style w:type="paragraph" w:customStyle="1" w:styleId="Level3">
    <w:name w:val="Level 3"/>
    <w:basedOn w:val="Level2"/>
    <w:autoRedefine/>
    <w:rsid w:val="000A5660"/>
    <w:pPr>
      <w:numPr>
        <w:ilvl w:val="3"/>
        <w:numId w:val="3"/>
      </w:numPr>
    </w:pPr>
    <w:rPr>
      <w:rFonts w:eastAsia="Arial" w:cstheme="minorHAnsi"/>
      <w:caps w:val="0"/>
    </w:rPr>
  </w:style>
  <w:style w:type="paragraph" w:customStyle="1" w:styleId="Level4">
    <w:name w:val="Level 4"/>
    <w:basedOn w:val="Level3"/>
    <w:autoRedefine/>
    <w:rsid w:val="00EA408B"/>
    <w:pPr>
      <w:numPr>
        <w:ilvl w:val="0"/>
        <w:numId w:val="0"/>
      </w:numPr>
    </w:pPr>
  </w:style>
  <w:style w:type="paragraph" w:customStyle="1" w:styleId="Level5">
    <w:name w:val="Level 5"/>
    <w:next w:val="Level4"/>
    <w:autoRedefine/>
    <w:rsid w:val="00073001"/>
    <w:pPr>
      <w:widowControl w:val="0"/>
      <w:autoSpaceDE w:val="0"/>
      <w:autoSpaceDN w:val="0"/>
      <w:adjustRightInd w:val="0"/>
      <w:spacing w:after="40"/>
      <w:ind w:left="1800"/>
    </w:pPr>
    <w:rPr>
      <w:rFonts w:eastAsia="Times New Roman" w:cs="Times New Roman"/>
      <w:sz w:val="20"/>
      <w:szCs w:val="20"/>
    </w:rPr>
  </w:style>
  <w:style w:type="paragraph" w:customStyle="1" w:styleId="Level6">
    <w:name w:val="Level 6"/>
    <w:autoRedefine/>
    <w:rsid w:val="00CE60EF"/>
    <w:pPr>
      <w:widowControl w:val="0"/>
      <w:numPr>
        <w:ilvl w:val="4"/>
        <w:numId w:val="3"/>
      </w:numPr>
      <w:autoSpaceDE w:val="0"/>
      <w:autoSpaceDN w:val="0"/>
      <w:adjustRightInd w:val="0"/>
      <w:spacing w:after="40"/>
    </w:pPr>
    <w:rPr>
      <w:rFonts w:eastAsia="Times New Roman" w:cstheme="minorHAnsi"/>
      <w:sz w:val="20"/>
      <w:szCs w:val="20"/>
    </w:rPr>
  </w:style>
  <w:style w:type="paragraph" w:customStyle="1" w:styleId="Level7">
    <w:name w:val="Level 7"/>
    <w:autoRedefine/>
    <w:rsid w:val="002207E7"/>
    <w:pPr>
      <w:widowControl w:val="0"/>
      <w:autoSpaceDE w:val="0"/>
      <w:autoSpaceDN w:val="0"/>
      <w:adjustRightInd w:val="0"/>
      <w:ind w:left="0" w:firstLine="0"/>
    </w:pPr>
    <w:rPr>
      <w:rFonts w:eastAsia="Times New Roman" w:cs="Times New Roman"/>
      <w:sz w:val="20"/>
      <w:szCs w:val="20"/>
    </w:rPr>
  </w:style>
  <w:style w:type="paragraph" w:customStyle="1" w:styleId="Level8">
    <w:name w:val="Level 8"/>
    <w:autoRedefine/>
    <w:rsid w:val="00FB4744"/>
    <w:pPr>
      <w:widowControl w:val="0"/>
      <w:numPr>
        <w:ilvl w:val="7"/>
        <w:numId w:val="3"/>
      </w:numPr>
      <w:autoSpaceDE w:val="0"/>
      <w:autoSpaceDN w:val="0"/>
      <w:adjustRightInd w:val="0"/>
      <w:spacing w:after="40"/>
    </w:pPr>
    <w:rPr>
      <w:rFonts w:ascii="Arial" w:eastAsia="Times New Roman" w:hAnsi="Arial" w:cs="Times New Roman"/>
      <w:sz w:val="20"/>
      <w:szCs w:val="20"/>
    </w:rPr>
  </w:style>
  <w:style w:type="paragraph" w:customStyle="1" w:styleId="Level9">
    <w:name w:val="Level 9"/>
    <w:autoRedefine/>
    <w:rsid w:val="00FB4744"/>
    <w:pPr>
      <w:widowControl w:val="0"/>
      <w:numPr>
        <w:ilvl w:val="8"/>
        <w:numId w:val="3"/>
      </w:numPr>
      <w:autoSpaceDE w:val="0"/>
      <w:autoSpaceDN w:val="0"/>
      <w:adjustRightInd w:val="0"/>
      <w:spacing w:after="40"/>
    </w:pPr>
    <w:rPr>
      <w:rFonts w:ascii="Arial" w:eastAsia="Times New Roman" w:hAnsi="Arial" w:cs="Times New Roman"/>
      <w:bCs/>
      <w:sz w:val="20"/>
      <w:szCs w:val="20"/>
    </w:rPr>
  </w:style>
  <w:style w:type="character" w:styleId="Hyperlink">
    <w:name w:val="Hyperlink"/>
    <w:basedOn w:val="DefaultParagraphFont"/>
    <w:uiPriority w:val="99"/>
    <w:unhideWhenUsed/>
    <w:rsid w:val="00112BAD"/>
    <w:rPr>
      <w:color w:val="0000FF" w:themeColor="hyperlink"/>
      <w:u w:val="single"/>
    </w:rPr>
  </w:style>
  <w:style w:type="character" w:styleId="CommentReference">
    <w:name w:val="annotation reference"/>
    <w:basedOn w:val="DefaultParagraphFont"/>
    <w:uiPriority w:val="99"/>
    <w:semiHidden/>
    <w:unhideWhenUsed/>
    <w:rsid w:val="00A2423B"/>
    <w:rPr>
      <w:sz w:val="16"/>
      <w:szCs w:val="16"/>
    </w:rPr>
  </w:style>
  <w:style w:type="paragraph" w:styleId="CommentText">
    <w:name w:val="annotation text"/>
    <w:basedOn w:val="HiddenText"/>
    <w:link w:val="CommentTextChar"/>
    <w:unhideWhenUsed/>
    <w:rsid w:val="004E2640"/>
  </w:style>
  <w:style w:type="character" w:customStyle="1" w:styleId="CommentTextChar">
    <w:name w:val="Comment Text Char"/>
    <w:basedOn w:val="DefaultParagraphFont"/>
    <w:link w:val="CommentText"/>
    <w:rsid w:val="004E2640"/>
    <w:rPr>
      <w:rFonts w:ascii="Times New Roman" w:hAnsi="Times New Roman" w:cstheme="minorHAnsi"/>
      <w:vanish/>
      <w:color w:val="548DD4" w:themeColor="text2" w:themeTint="99"/>
      <w:sz w:val="18"/>
      <w:szCs w:val="20"/>
    </w:rPr>
  </w:style>
  <w:style w:type="paragraph" w:styleId="CommentSubject">
    <w:name w:val="annotation subject"/>
    <w:basedOn w:val="CommentText"/>
    <w:next w:val="CommentText"/>
    <w:link w:val="CommentSubjectChar"/>
    <w:uiPriority w:val="99"/>
    <w:semiHidden/>
    <w:unhideWhenUsed/>
    <w:rsid w:val="00A2423B"/>
    <w:rPr>
      <w:b/>
      <w:bCs/>
    </w:rPr>
  </w:style>
  <w:style w:type="character" w:customStyle="1" w:styleId="CommentSubjectChar">
    <w:name w:val="Comment Subject Char"/>
    <w:basedOn w:val="CommentTextChar"/>
    <w:link w:val="CommentSubject"/>
    <w:uiPriority w:val="99"/>
    <w:semiHidden/>
    <w:rsid w:val="00A2423B"/>
    <w:rPr>
      <w:rFonts w:ascii="Times New Roman" w:hAnsi="Times New Roman" w:cstheme="minorHAnsi"/>
      <w:b/>
      <w:bCs/>
      <w:vanish/>
      <w:color w:val="548DD4" w:themeColor="text2" w:themeTint="99"/>
      <w:sz w:val="20"/>
      <w:szCs w:val="20"/>
    </w:rPr>
  </w:style>
  <w:style w:type="paragraph" w:styleId="BalloonText">
    <w:name w:val="Balloon Text"/>
    <w:basedOn w:val="Normal"/>
    <w:link w:val="BalloonTextChar"/>
    <w:uiPriority w:val="99"/>
    <w:semiHidden/>
    <w:unhideWhenUsed/>
    <w:rsid w:val="00A2423B"/>
    <w:rPr>
      <w:rFonts w:ascii="Tahoma" w:hAnsi="Tahoma" w:cs="Tahoma"/>
      <w:sz w:val="16"/>
      <w:szCs w:val="16"/>
    </w:rPr>
  </w:style>
  <w:style w:type="character" w:customStyle="1" w:styleId="BalloonTextChar">
    <w:name w:val="Balloon Text Char"/>
    <w:basedOn w:val="DefaultParagraphFont"/>
    <w:link w:val="BalloonText"/>
    <w:uiPriority w:val="99"/>
    <w:semiHidden/>
    <w:rsid w:val="00A2423B"/>
    <w:rPr>
      <w:rFonts w:ascii="Tahoma" w:hAnsi="Tahoma" w:cs="Tahoma"/>
      <w:sz w:val="16"/>
      <w:szCs w:val="16"/>
    </w:rPr>
  </w:style>
  <w:style w:type="paragraph" w:customStyle="1" w:styleId="HiddenText">
    <w:name w:val="Hidden Text"/>
    <w:link w:val="HiddenTextChar"/>
    <w:qFormat/>
    <w:rsid w:val="004E2640"/>
    <w:rPr>
      <w:rFonts w:ascii="Times New Roman" w:hAnsi="Times New Roman" w:cstheme="minorHAnsi"/>
      <w:vanish/>
      <w:color w:val="548DD4" w:themeColor="text2" w:themeTint="99"/>
      <w:sz w:val="18"/>
      <w:szCs w:val="20"/>
    </w:rPr>
  </w:style>
  <w:style w:type="paragraph" w:styleId="BlockText">
    <w:name w:val="Block Text"/>
    <w:basedOn w:val="Normal"/>
    <w:autoRedefine/>
    <w:semiHidden/>
    <w:rsid w:val="0003666E"/>
    <w:pPr>
      <w:spacing w:before="200" w:after="40"/>
      <w:jc w:val="center"/>
    </w:pPr>
    <w:rPr>
      <w:rFonts w:ascii="Arial" w:eastAsia="Times New Roman" w:hAnsi="Arial" w:cs="Arial"/>
      <w:caps/>
      <w:sz w:val="20"/>
      <w:szCs w:val="20"/>
    </w:rPr>
  </w:style>
  <w:style w:type="character" w:customStyle="1" w:styleId="HiddenTextChar">
    <w:name w:val="Hidden Text Char"/>
    <w:basedOn w:val="CommentTextChar"/>
    <w:link w:val="HiddenText"/>
    <w:rsid w:val="004E2640"/>
    <w:rPr>
      <w:rFonts w:ascii="Times New Roman" w:hAnsi="Times New Roman" w:cstheme="minorHAnsi"/>
      <w:vanish w:val="0"/>
      <w:color w:val="548DD4" w:themeColor="text2" w:themeTint="99"/>
      <w:sz w:val="18"/>
      <w:szCs w:val="20"/>
    </w:rPr>
  </w:style>
  <w:style w:type="paragraph" w:styleId="Header">
    <w:name w:val="header"/>
    <w:basedOn w:val="Normal"/>
    <w:link w:val="HeaderChar"/>
    <w:uiPriority w:val="99"/>
    <w:unhideWhenUsed/>
    <w:rsid w:val="00182FBF"/>
    <w:pPr>
      <w:tabs>
        <w:tab w:val="center" w:pos="4680"/>
        <w:tab w:val="right" w:pos="9360"/>
      </w:tabs>
    </w:pPr>
  </w:style>
  <w:style w:type="character" w:customStyle="1" w:styleId="HeaderChar">
    <w:name w:val="Header Char"/>
    <w:basedOn w:val="DefaultParagraphFont"/>
    <w:link w:val="Header"/>
    <w:uiPriority w:val="99"/>
    <w:rsid w:val="00182FBF"/>
  </w:style>
  <w:style w:type="paragraph" w:styleId="Footer">
    <w:name w:val="footer"/>
    <w:basedOn w:val="Normal"/>
    <w:link w:val="FooterChar"/>
    <w:uiPriority w:val="99"/>
    <w:unhideWhenUsed/>
    <w:rsid w:val="00182FBF"/>
    <w:pPr>
      <w:tabs>
        <w:tab w:val="center" w:pos="4680"/>
        <w:tab w:val="right" w:pos="9360"/>
      </w:tabs>
    </w:pPr>
  </w:style>
  <w:style w:type="character" w:customStyle="1" w:styleId="FooterChar">
    <w:name w:val="Footer Char"/>
    <w:basedOn w:val="DefaultParagraphFont"/>
    <w:link w:val="Footer"/>
    <w:uiPriority w:val="99"/>
    <w:rsid w:val="00182FBF"/>
  </w:style>
  <w:style w:type="paragraph" w:customStyle="1" w:styleId="PRT">
    <w:name w:val="PRT"/>
    <w:basedOn w:val="Normal"/>
    <w:next w:val="ART"/>
    <w:qFormat/>
    <w:rsid w:val="007F3185"/>
    <w:pPr>
      <w:keepNext/>
      <w:numPr>
        <w:numId w:val="7"/>
      </w:numPr>
      <w:suppressAutoHyphens/>
      <w:spacing w:before="120" w:after="120"/>
      <w:outlineLvl w:val="0"/>
    </w:pPr>
    <w:rPr>
      <w:rFonts w:ascii="Arial" w:eastAsia="Times New Roman" w:hAnsi="Arial" w:cs="Times New Roman"/>
      <w:b/>
      <w:sz w:val="20"/>
      <w:szCs w:val="20"/>
    </w:rPr>
  </w:style>
  <w:style w:type="paragraph" w:customStyle="1" w:styleId="SUT">
    <w:name w:val="SUT"/>
    <w:basedOn w:val="Normal"/>
    <w:next w:val="PR1"/>
    <w:rsid w:val="007F3185"/>
    <w:pPr>
      <w:numPr>
        <w:ilvl w:val="1"/>
        <w:numId w:val="2"/>
      </w:numPr>
      <w:suppressAutoHyphens/>
      <w:spacing w:before="240"/>
      <w:outlineLvl w:val="0"/>
    </w:pPr>
    <w:rPr>
      <w:rFonts w:ascii="Arial" w:eastAsia="Times New Roman" w:hAnsi="Arial" w:cs="Times New Roman"/>
      <w:sz w:val="20"/>
      <w:szCs w:val="20"/>
    </w:rPr>
  </w:style>
  <w:style w:type="paragraph" w:customStyle="1" w:styleId="DST">
    <w:name w:val="DST"/>
    <w:basedOn w:val="Normal"/>
    <w:next w:val="PR1"/>
    <w:rsid w:val="007F3185"/>
    <w:pPr>
      <w:numPr>
        <w:ilvl w:val="2"/>
        <w:numId w:val="2"/>
      </w:numPr>
      <w:suppressAutoHyphens/>
      <w:spacing w:before="240"/>
      <w:outlineLvl w:val="0"/>
    </w:pPr>
    <w:rPr>
      <w:rFonts w:ascii="Arial" w:eastAsia="Times New Roman" w:hAnsi="Arial" w:cs="Times New Roman"/>
      <w:sz w:val="20"/>
      <w:szCs w:val="20"/>
    </w:rPr>
  </w:style>
  <w:style w:type="paragraph" w:customStyle="1" w:styleId="ART">
    <w:name w:val="ART"/>
    <w:basedOn w:val="Normal"/>
    <w:next w:val="PR1"/>
    <w:qFormat/>
    <w:rsid w:val="007F3185"/>
    <w:pPr>
      <w:keepNext/>
      <w:numPr>
        <w:numId w:val="9"/>
      </w:numPr>
      <w:tabs>
        <w:tab w:val="left" w:pos="720"/>
        <w:tab w:val="num" w:pos="864"/>
      </w:tabs>
      <w:suppressAutoHyphens/>
      <w:spacing w:before="240" w:after="240"/>
      <w:outlineLvl w:val="1"/>
    </w:pPr>
    <w:rPr>
      <w:rFonts w:ascii="Arial" w:eastAsia="SimSun" w:hAnsi="Arial" w:cs="Times New Roman"/>
      <w:b/>
      <w:sz w:val="20"/>
      <w:szCs w:val="20"/>
      <w:lang w:eastAsia="zh-CN"/>
    </w:rPr>
  </w:style>
  <w:style w:type="paragraph" w:customStyle="1" w:styleId="PR1">
    <w:name w:val="PR1"/>
    <w:basedOn w:val="Normal"/>
    <w:link w:val="PR1Char"/>
    <w:autoRedefine/>
    <w:qFormat/>
    <w:rsid w:val="006868A5"/>
    <w:pPr>
      <w:numPr>
        <w:numId w:val="10"/>
      </w:numPr>
      <w:tabs>
        <w:tab w:val="num" w:pos="1170"/>
      </w:tabs>
      <w:suppressAutoHyphens/>
      <w:spacing w:before="120" w:after="120"/>
      <w:ind w:left="1170"/>
      <w:outlineLvl w:val="2"/>
    </w:pPr>
    <w:rPr>
      <w:rFonts w:ascii="Arial" w:eastAsia="SimSun" w:hAnsi="Arial" w:cs="Times New Roman"/>
      <w:sz w:val="20"/>
      <w:szCs w:val="20"/>
      <w:lang w:eastAsia="zh-CN"/>
    </w:rPr>
  </w:style>
  <w:style w:type="paragraph" w:customStyle="1" w:styleId="PR2">
    <w:name w:val="PR2"/>
    <w:basedOn w:val="Normal"/>
    <w:link w:val="PR2Char"/>
    <w:autoRedefine/>
    <w:qFormat/>
    <w:rsid w:val="00451662"/>
    <w:pPr>
      <w:numPr>
        <w:numId w:val="8"/>
      </w:numPr>
      <w:tabs>
        <w:tab w:val="left" w:pos="1440"/>
      </w:tabs>
      <w:suppressAutoHyphens/>
      <w:spacing w:before="120" w:after="120"/>
      <w:contextualSpacing/>
      <w:outlineLvl w:val="3"/>
    </w:pPr>
    <w:rPr>
      <w:rFonts w:ascii="Arial" w:eastAsia="SimSun" w:hAnsi="Arial" w:cs="Times New Roman"/>
      <w:sz w:val="20"/>
      <w:szCs w:val="20"/>
      <w:lang w:eastAsia="zh-CN"/>
    </w:rPr>
  </w:style>
  <w:style w:type="paragraph" w:customStyle="1" w:styleId="PR3">
    <w:name w:val="PR3"/>
    <w:basedOn w:val="Normal"/>
    <w:link w:val="PR3Char"/>
    <w:autoRedefine/>
    <w:qFormat/>
    <w:rsid w:val="00451662"/>
    <w:pPr>
      <w:numPr>
        <w:ilvl w:val="4"/>
        <w:numId w:val="6"/>
      </w:numPr>
      <w:tabs>
        <w:tab w:val="left" w:pos="1656"/>
        <w:tab w:val="left" w:pos="2610"/>
      </w:tabs>
      <w:suppressAutoHyphens/>
      <w:contextualSpacing/>
      <w:outlineLvl w:val="4"/>
    </w:pPr>
    <w:rPr>
      <w:rFonts w:ascii="Arial" w:eastAsia="SimSun" w:hAnsi="Arial" w:cs="Times New Roman"/>
      <w:sz w:val="20"/>
      <w:szCs w:val="20"/>
      <w:lang w:eastAsia="zh-CN"/>
    </w:rPr>
  </w:style>
  <w:style w:type="paragraph" w:customStyle="1" w:styleId="PR4">
    <w:name w:val="PR4"/>
    <w:basedOn w:val="Normal"/>
    <w:autoRedefine/>
    <w:qFormat/>
    <w:rsid w:val="00451662"/>
    <w:pPr>
      <w:numPr>
        <w:ilvl w:val="7"/>
        <w:numId w:val="2"/>
      </w:numPr>
      <w:suppressAutoHyphens/>
      <w:outlineLvl w:val="5"/>
    </w:pPr>
    <w:rPr>
      <w:rFonts w:ascii="Arial" w:eastAsia="SimSun" w:hAnsi="Arial" w:cs="Times New Roman"/>
      <w:sz w:val="20"/>
      <w:szCs w:val="20"/>
    </w:rPr>
  </w:style>
  <w:style w:type="paragraph" w:customStyle="1" w:styleId="PR5">
    <w:name w:val="PR5"/>
    <w:basedOn w:val="Normal"/>
    <w:autoRedefine/>
    <w:qFormat/>
    <w:rsid w:val="00B20C26"/>
    <w:pPr>
      <w:numPr>
        <w:ilvl w:val="8"/>
        <w:numId w:val="2"/>
      </w:numPr>
      <w:tabs>
        <w:tab w:val="left" w:pos="4320"/>
      </w:tabs>
      <w:suppressAutoHyphens/>
      <w:outlineLvl w:val="6"/>
    </w:pPr>
    <w:rPr>
      <w:rFonts w:ascii="Arial" w:eastAsia="SimSun" w:hAnsi="Arial" w:cs="Times New Roman"/>
      <w:sz w:val="20"/>
      <w:szCs w:val="20"/>
      <w:lang w:eastAsia="zh-CN"/>
    </w:rPr>
  </w:style>
  <w:style w:type="character" w:customStyle="1" w:styleId="PR2Char">
    <w:name w:val="PR2 Char"/>
    <w:link w:val="PR2"/>
    <w:rsid w:val="00451662"/>
    <w:rPr>
      <w:rFonts w:ascii="Arial" w:eastAsia="SimSun" w:hAnsi="Arial" w:cs="Times New Roman"/>
      <w:sz w:val="20"/>
      <w:szCs w:val="20"/>
      <w:lang w:eastAsia="zh-CN"/>
    </w:rPr>
  </w:style>
  <w:style w:type="character" w:customStyle="1" w:styleId="PR3Char">
    <w:name w:val="PR3 Char"/>
    <w:link w:val="PR3"/>
    <w:rsid w:val="00451662"/>
    <w:rPr>
      <w:rFonts w:ascii="Arial" w:eastAsia="SimSun" w:hAnsi="Arial" w:cs="Times New Roman"/>
      <w:sz w:val="20"/>
      <w:szCs w:val="20"/>
      <w:lang w:eastAsia="zh-CN"/>
    </w:rPr>
  </w:style>
  <w:style w:type="character" w:customStyle="1" w:styleId="PR1Char">
    <w:name w:val="PR1 Char"/>
    <w:link w:val="PR1"/>
    <w:rsid w:val="006868A5"/>
    <w:rPr>
      <w:rFonts w:ascii="Arial" w:eastAsia="SimSun" w:hAnsi="Arial" w:cs="Times New Roman"/>
      <w:sz w:val="20"/>
      <w:szCs w:val="20"/>
      <w:lang w:eastAsia="zh-CN"/>
    </w:rPr>
  </w:style>
  <w:style w:type="paragraph" w:styleId="Revision">
    <w:name w:val="Revision"/>
    <w:hidden/>
    <w:uiPriority w:val="99"/>
    <w:semiHidden/>
    <w:rsid w:val="00424B14"/>
  </w:style>
  <w:style w:type="character" w:customStyle="1" w:styleId="Heading7Char">
    <w:name w:val="Heading 7 Char"/>
    <w:basedOn w:val="DefaultParagraphFont"/>
    <w:link w:val="Heading7"/>
    <w:uiPriority w:val="99"/>
    <w:rsid w:val="006A1916"/>
    <w:rPr>
      <w:rFonts w:ascii="Times New Roman" w:eastAsia="Arial" w:hAnsi="Times New Roman" w:cs="Arial"/>
      <w:caps/>
      <w:kern w:val="28"/>
      <w:lang w:val="en"/>
    </w:rPr>
  </w:style>
  <w:style w:type="character" w:customStyle="1" w:styleId="Heading8Char">
    <w:name w:val="Heading 8 Char"/>
    <w:basedOn w:val="DefaultParagraphFont"/>
    <w:link w:val="Heading8"/>
    <w:uiPriority w:val="99"/>
    <w:rsid w:val="006A1916"/>
    <w:rPr>
      <w:rFonts w:ascii="Times New Roman" w:eastAsia="Times New Roman" w:hAnsi="Times New Roman" w:cs="Times New Roman"/>
      <w:b/>
      <w:kern w:val="28"/>
      <w:sz w:val="24"/>
      <w:lang w:val="en"/>
    </w:rPr>
  </w:style>
  <w:style w:type="character" w:customStyle="1" w:styleId="Heading9Char">
    <w:name w:val="Heading 9 Char"/>
    <w:basedOn w:val="DefaultParagraphFont"/>
    <w:link w:val="Heading9"/>
    <w:uiPriority w:val="99"/>
    <w:rsid w:val="006A1916"/>
    <w:rPr>
      <w:rFonts w:ascii="Times New Roman" w:eastAsia="Times New Roman" w:hAnsi="Times New Roman" w:cs="Times New Roman"/>
      <w:b/>
      <w:kern w:val="28"/>
      <w:lang w:val="en"/>
    </w:rPr>
  </w:style>
  <w:style w:type="paragraph" w:styleId="BodyText">
    <w:name w:val="Body Text"/>
    <w:basedOn w:val="Normal"/>
    <w:link w:val="BodyTextChar"/>
    <w:uiPriority w:val="99"/>
    <w:semiHidden/>
    <w:unhideWhenUsed/>
    <w:rsid w:val="006A1916"/>
    <w:pPr>
      <w:spacing w:after="120"/>
    </w:pPr>
  </w:style>
  <w:style w:type="character" w:customStyle="1" w:styleId="BodyTextChar">
    <w:name w:val="Body Text Char"/>
    <w:basedOn w:val="DefaultParagraphFont"/>
    <w:link w:val="BodyText"/>
    <w:uiPriority w:val="99"/>
    <w:semiHidden/>
    <w:rsid w:val="006A1916"/>
  </w:style>
  <w:style w:type="paragraph" w:customStyle="1" w:styleId="H5">
    <w:name w:val="H5"/>
    <w:basedOn w:val="Normal"/>
    <w:next w:val="Normal"/>
    <w:rsid w:val="000E26C9"/>
    <w:pPr>
      <w:keepNext/>
      <w:widowControl w:val="0"/>
      <w:spacing w:before="100" w:after="100"/>
      <w:outlineLvl w:val="5"/>
    </w:pPr>
    <w:rPr>
      <w:rFonts w:ascii="Times New Roman" w:eastAsia="Times New Roman" w:hAnsi="Times New Roman" w:cs="Times New Roman"/>
      <w:b/>
      <w:bCs/>
      <w:sz w:val="20"/>
      <w:szCs w:val="20"/>
    </w:rPr>
  </w:style>
  <w:style w:type="paragraph" w:customStyle="1" w:styleId="Blockquote">
    <w:name w:val="Blockquote"/>
    <w:basedOn w:val="Normal"/>
    <w:rsid w:val="000E26C9"/>
    <w:pPr>
      <w:widowControl w:val="0"/>
      <w:spacing w:before="100" w:after="100"/>
      <w:ind w:left="360" w:right="360"/>
    </w:pPr>
    <w:rPr>
      <w:rFonts w:ascii="Times New Roman" w:eastAsia="Times New Roman" w:hAnsi="Times New Roman" w:cs="Times New Roman"/>
      <w:sz w:val="24"/>
      <w:szCs w:val="24"/>
    </w:rPr>
  </w:style>
  <w:style w:type="paragraph" w:customStyle="1" w:styleId="Default">
    <w:name w:val="Default"/>
    <w:rsid w:val="000E26C9"/>
    <w:pPr>
      <w:autoSpaceDE w:val="0"/>
      <w:autoSpaceDN w:val="0"/>
      <w:adjustRightInd w:val="0"/>
    </w:pPr>
    <w:rPr>
      <w:rFonts w:ascii="Univers LT Std 47 Cn Lt" w:hAnsi="Univers LT Std 47 Cn Lt" w:cs="Univers LT Std 47 Cn Lt"/>
      <w:color w:val="000000"/>
      <w:sz w:val="24"/>
      <w:szCs w:val="24"/>
    </w:rPr>
  </w:style>
  <w:style w:type="character" w:customStyle="1" w:styleId="A7">
    <w:name w:val="A7"/>
    <w:uiPriority w:val="99"/>
    <w:rsid w:val="000E26C9"/>
    <w:rPr>
      <w:rFonts w:cs="Univers LT Std 47 Cn Lt"/>
      <w:color w:val="000000"/>
      <w:sz w:val="17"/>
      <w:szCs w:val="17"/>
    </w:rPr>
  </w:style>
  <w:style w:type="character" w:styleId="PlaceholderText">
    <w:name w:val="Placeholder Text"/>
    <w:basedOn w:val="DefaultParagraphFont"/>
    <w:uiPriority w:val="99"/>
    <w:semiHidden/>
    <w:rsid w:val="001C2001"/>
    <w:rPr>
      <w:color w:val="808080"/>
    </w:rPr>
  </w:style>
  <w:style w:type="numbering" w:customStyle="1" w:styleId="CSIStyle">
    <w:name w:val="CSI Style"/>
    <w:uiPriority w:val="99"/>
    <w:rsid w:val="004E4E6D"/>
    <w:pPr>
      <w:numPr>
        <w:numId w:val="4"/>
      </w:numPr>
    </w:pPr>
  </w:style>
  <w:style w:type="character" w:styleId="UnresolvedMention">
    <w:name w:val="Unresolved Mention"/>
    <w:basedOn w:val="DefaultParagraphFont"/>
    <w:uiPriority w:val="99"/>
    <w:semiHidden/>
    <w:unhideWhenUsed/>
    <w:rsid w:val="00FC068E"/>
    <w:rPr>
      <w:color w:val="605E5C"/>
      <w:shd w:val="clear" w:color="auto" w:fill="E1DFDD"/>
    </w:rPr>
  </w:style>
  <w:style w:type="character" w:customStyle="1" w:styleId="doc-name">
    <w:name w:val="doc-name"/>
    <w:basedOn w:val="DefaultParagraphFont"/>
    <w:rsid w:val="00FC068E"/>
  </w:style>
  <w:style w:type="character" w:customStyle="1" w:styleId="SI">
    <w:name w:val="SI"/>
    <w:rsid w:val="00A045F5"/>
    <w:rPr>
      <w:bCs/>
      <w:color w:val="008080"/>
    </w:rPr>
  </w:style>
  <w:style w:type="character" w:customStyle="1" w:styleId="IP">
    <w:name w:val="IP"/>
    <w:rsid w:val="00A045F5"/>
    <w:rPr>
      <w:color w:val="FF0000"/>
    </w:rPr>
  </w:style>
  <w:style w:type="character" w:customStyle="1" w:styleId="CMTChar">
    <w:name w:val="CMT Char"/>
    <w:link w:val="CMT"/>
    <w:locked/>
    <w:rsid w:val="003F035A"/>
    <w:rPr>
      <w:vanish/>
      <w:color w:val="0000FF"/>
      <w:lang w:val="x-none" w:eastAsia="x-none"/>
    </w:rPr>
  </w:style>
  <w:style w:type="paragraph" w:customStyle="1" w:styleId="CMT">
    <w:name w:val="CMT"/>
    <w:basedOn w:val="Normal"/>
    <w:link w:val="CMTChar"/>
    <w:rsid w:val="003F035A"/>
    <w:pPr>
      <w:suppressAutoHyphens/>
      <w:spacing w:before="240"/>
      <w:ind w:left="0" w:firstLine="0"/>
    </w:pPr>
    <w:rPr>
      <w:vanish/>
      <w:color w:val="0000FF"/>
      <w:lang w:val="x-none" w:eastAsia="x-none"/>
    </w:rPr>
  </w:style>
  <w:style w:type="character" w:customStyle="1" w:styleId="SAhyperlink">
    <w:name w:val="SAhyperlink"/>
    <w:uiPriority w:val="1"/>
    <w:qFormat/>
    <w:rsid w:val="00B96DA6"/>
    <w:rPr>
      <w:color w:val="E36C0A"/>
      <w:u w:val="single"/>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418825">
      <w:bodyDiv w:val="1"/>
      <w:marLeft w:val="0"/>
      <w:marRight w:val="0"/>
      <w:marTop w:val="0"/>
      <w:marBottom w:val="0"/>
      <w:divBdr>
        <w:top w:val="none" w:sz="0" w:space="0" w:color="auto"/>
        <w:left w:val="none" w:sz="0" w:space="0" w:color="auto"/>
        <w:bottom w:val="none" w:sz="0" w:space="0" w:color="auto"/>
        <w:right w:val="none" w:sz="0" w:space="0" w:color="auto"/>
      </w:divBdr>
    </w:div>
    <w:div w:id="507908254">
      <w:bodyDiv w:val="1"/>
      <w:marLeft w:val="0"/>
      <w:marRight w:val="0"/>
      <w:marTop w:val="0"/>
      <w:marBottom w:val="0"/>
      <w:divBdr>
        <w:top w:val="none" w:sz="0" w:space="0" w:color="auto"/>
        <w:left w:val="none" w:sz="0" w:space="0" w:color="auto"/>
        <w:bottom w:val="none" w:sz="0" w:space="0" w:color="auto"/>
        <w:right w:val="none" w:sz="0" w:space="0" w:color="auto"/>
      </w:divBdr>
    </w:div>
    <w:div w:id="704722387">
      <w:bodyDiv w:val="1"/>
      <w:marLeft w:val="0"/>
      <w:marRight w:val="0"/>
      <w:marTop w:val="0"/>
      <w:marBottom w:val="0"/>
      <w:divBdr>
        <w:top w:val="none" w:sz="0" w:space="0" w:color="auto"/>
        <w:left w:val="none" w:sz="0" w:space="0" w:color="auto"/>
        <w:bottom w:val="none" w:sz="0" w:space="0" w:color="auto"/>
        <w:right w:val="none" w:sz="0" w:space="0" w:color="auto"/>
      </w:divBdr>
    </w:div>
    <w:div w:id="738018251">
      <w:bodyDiv w:val="1"/>
      <w:marLeft w:val="0"/>
      <w:marRight w:val="0"/>
      <w:marTop w:val="0"/>
      <w:marBottom w:val="0"/>
      <w:divBdr>
        <w:top w:val="none" w:sz="0" w:space="0" w:color="auto"/>
        <w:left w:val="none" w:sz="0" w:space="0" w:color="auto"/>
        <w:bottom w:val="none" w:sz="0" w:space="0" w:color="auto"/>
        <w:right w:val="none" w:sz="0" w:space="0" w:color="auto"/>
      </w:divBdr>
    </w:div>
    <w:div w:id="781147676">
      <w:bodyDiv w:val="1"/>
      <w:marLeft w:val="0"/>
      <w:marRight w:val="0"/>
      <w:marTop w:val="0"/>
      <w:marBottom w:val="0"/>
      <w:divBdr>
        <w:top w:val="none" w:sz="0" w:space="0" w:color="auto"/>
        <w:left w:val="none" w:sz="0" w:space="0" w:color="auto"/>
        <w:bottom w:val="none" w:sz="0" w:space="0" w:color="auto"/>
        <w:right w:val="none" w:sz="0" w:space="0" w:color="auto"/>
      </w:divBdr>
    </w:div>
    <w:div w:id="786781711">
      <w:bodyDiv w:val="1"/>
      <w:marLeft w:val="0"/>
      <w:marRight w:val="0"/>
      <w:marTop w:val="0"/>
      <w:marBottom w:val="0"/>
      <w:divBdr>
        <w:top w:val="none" w:sz="0" w:space="0" w:color="auto"/>
        <w:left w:val="none" w:sz="0" w:space="0" w:color="auto"/>
        <w:bottom w:val="none" w:sz="0" w:space="0" w:color="auto"/>
        <w:right w:val="none" w:sz="0" w:space="0" w:color="auto"/>
      </w:divBdr>
      <w:divsChild>
        <w:div w:id="61417216">
          <w:marLeft w:val="0"/>
          <w:marRight w:val="0"/>
          <w:marTop w:val="0"/>
          <w:marBottom w:val="0"/>
          <w:divBdr>
            <w:top w:val="none" w:sz="0" w:space="0" w:color="auto"/>
            <w:left w:val="none" w:sz="0" w:space="0" w:color="auto"/>
            <w:bottom w:val="none" w:sz="0" w:space="0" w:color="auto"/>
            <w:right w:val="none" w:sz="0" w:space="0" w:color="auto"/>
          </w:divBdr>
        </w:div>
        <w:div w:id="2048407971">
          <w:marLeft w:val="0"/>
          <w:marRight w:val="0"/>
          <w:marTop w:val="0"/>
          <w:marBottom w:val="0"/>
          <w:divBdr>
            <w:top w:val="none" w:sz="0" w:space="0" w:color="auto"/>
            <w:left w:val="none" w:sz="0" w:space="0" w:color="auto"/>
            <w:bottom w:val="none" w:sz="0" w:space="0" w:color="auto"/>
            <w:right w:val="none" w:sz="0" w:space="0" w:color="auto"/>
          </w:divBdr>
        </w:div>
        <w:div w:id="1872719177">
          <w:marLeft w:val="0"/>
          <w:marRight w:val="0"/>
          <w:marTop w:val="0"/>
          <w:marBottom w:val="0"/>
          <w:divBdr>
            <w:top w:val="none" w:sz="0" w:space="0" w:color="auto"/>
            <w:left w:val="none" w:sz="0" w:space="0" w:color="auto"/>
            <w:bottom w:val="none" w:sz="0" w:space="0" w:color="auto"/>
            <w:right w:val="none" w:sz="0" w:space="0" w:color="auto"/>
          </w:divBdr>
        </w:div>
        <w:div w:id="1070032373">
          <w:marLeft w:val="0"/>
          <w:marRight w:val="0"/>
          <w:marTop w:val="0"/>
          <w:marBottom w:val="0"/>
          <w:divBdr>
            <w:top w:val="none" w:sz="0" w:space="0" w:color="auto"/>
            <w:left w:val="none" w:sz="0" w:space="0" w:color="auto"/>
            <w:bottom w:val="none" w:sz="0" w:space="0" w:color="auto"/>
            <w:right w:val="none" w:sz="0" w:space="0" w:color="auto"/>
          </w:divBdr>
        </w:div>
        <w:div w:id="2136289116">
          <w:marLeft w:val="0"/>
          <w:marRight w:val="0"/>
          <w:marTop w:val="0"/>
          <w:marBottom w:val="0"/>
          <w:divBdr>
            <w:top w:val="none" w:sz="0" w:space="0" w:color="auto"/>
            <w:left w:val="none" w:sz="0" w:space="0" w:color="auto"/>
            <w:bottom w:val="none" w:sz="0" w:space="0" w:color="auto"/>
            <w:right w:val="none" w:sz="0" w:space="0" w:color="auto"/>
          </w:divBdr>
        </w:div>
        <w:div w:id="792214317">
          <w:marLeft w:val="0"/>
          <w:marRight w:val="0"/>
          <w:marTop w:val="0"/>
          <w:marBottom w:val="0"/>
          <w:divBdr>
            <w:top w:val="none" w:sz="0" w:space="0" w:color="auto"/>
            <w:left w:val="none" w:sz="0" w:space="0" w:color="auto"/>
            <w:bottom w:val="none" w:sz="0" w:space="0" w:color="auto"/>
            <w:right w:val="none" w:sz="0" w:space="0" w:color="auto"/>
          </w:divBdr>
        </w:div>
        <w:div w:id="386534319">
          <w:marLeft w:val="0"/>
          <w:marRight w:val="0"/>
          <w:marTop w:val="0"/>
          <w:marBottom w:val="0"/>
          <w:divBdr>
            <w:top w:val="none" w:sz="0" w:space="0" w:color="auto"/>
            <w:left w:val="none" w:sz="0" w:space="0" w:color="auto"/>
            <w:bottom w:val="none" w:sz="0" w:space="0" w:color="auto"/>
            <w:right w:val="none" w:sz="0" w:space="0" w:color="auto"/>
          </w:divBdr>
        </w:div>
        <w:div w:id="1451779876">
          <w:marLeft w:val="0"/>
          <w:marRight w:val="0"/>
          <w:marTop w:val="0"/>
          <w:marBottom w:val="0"/>
          <w:divBdr>
            <w:top w:val="none" w:sz="0" w:space="0" w:color="auto"/>
            <w:left w:val="none" w:sz="0" w:space="0" w:color="auto"/>
            <w:bottom w:val="none" w:sz="0" w:space="0" w:color="auto"/>
            <w:right w:val="none" w:sz="0" w:space="0" w:color="auto"/>
          </w:divBdr>
        </w:div>
        <w:div w:id="1774861968">
          <w:marLeft w:val="0"/>
          <w:marRight w:val="0"/>
          <w:marTop w:val="0"/>
          <w:marBottom w:val="0"/>
          <w:divBdr>
            <w:top w:val="none" w:sz="0" w:space="0" w:color="auto"/>
            <w:left w:val="none" w:sz="0" w:space="0" w:color="auto"/>
            <w:bottom w:val="none" w:sz="0" w:space="0" w:color="auto"/>
            <w:right w:val="none" w:sz="0" w:space="0" w:color="auto"/>
          </w:divBdr>
        </w:div>
        <w:div w:id="346643716">
          <w:marLeft w:val="0"/>
          <w:marRight w:val="0"/>
          <w:marTop w:val="0"/>
          <w:marBottom w:val="0"/>
          <w:divBdr>
            <w:top w:val="none" w:sz="0" w:space="0" w:color="auto"/>
            <w:left w:val="none" w:sz="0" w:space="0" w:color="auto"/>
            <w:bottom w:val="none" w:sz="0" w:space="0" w:color="auto"/>
            <w:right w:val="none" w:sz="0" w:space="0" w:color="auto"/>
          </w:divBdr>
        </w:div>
        <w:div w:id="1354040443">
          <w:marLeft w:val="0"/>
          <w:marRight w:val="0"/>
          <w:marTop w:val="0"/>
          <w:marBottom w:val="0"/>
          <w:divBdr>
            <w:top w:val="none" w:sz="0" w:space="0" w:color="auto"/>
            <w:left w:val="none" w:sz="0" w:space="0" w:color="auto"/>
            <w:bottom w:val="none" w:sz="0" w:space="0" w:color="auto"/>
            <w:right w:val="none" w:sz="0" w:space="0" w:color="auto"/>
          </w:divBdr>
        </w:div>
        <w:div w:id="2075423519">
          <w:marLeft w:val="0"/>
          <w:marRight w:val="0"/>
          <w:marTop w:val="0"/>
          <w:marBottom w:val="0"/>
          <w:divBdr>
            <w:top w:val="none" w:sz="0" w:space="0" w:color="auto"/>
            <w:left w:val="none" w:sz="0" w:space="0" w:color="auto"/>
            <w:bottom w:val="none" w:sz="0" w:space="0" w:color="auto"/>
            <w:right w:val="none" w:sz="0" w:space="0" w:color="auto"/>
          </w:divBdr>
        </w:div>
        <w:div w:id="616108316">
          <w:marLeft w:val="0"/>
          <w:marRight w:val="0"/>
          <w:marTop w:val="0"/>
          <w:marBottom w:val="0"/>
          <w:divBdr>
            <w:top w:val="none" w:sz="0" w:space="0" w:color="auto"/>
            <w:left w:val="none" w:sz="0" w:space="0" w:color="auto"/>
            <w:bottom w:val="none" w:sz="0" w:space="0" w:color="auto"/>
            <w:right w:val="none" w:sz="0" w:space="0" w:color="auto"/>
          </w:divBdr>
        </w:div>
        <w:div w:id="1970017073">
          <w:marLeft w:val="0"/>
          <w:marRight w:val="0"/>
          <w:marTop w:val="0"/>
          <w:marBottom w:val="0"/>
          <w:divBdr>
            <w:top w:val="none" w:sz="0" w:space="0" w:color="auto"/>
            <w:left w:val="none" w:sz="0" w:space="0" w:color="auto"/>
            <w:bottom w:val="none" w:sz="0" w:space="0" w:color="auto"/>
            <w:right w:val="none" w:sz="0" w:space="0" w:color="auto"/>
          </w:divBdr>
        </w:div>
        <w:div w:id="1006832944">
          <w:marLeft w:val="0"/>
          <w:marRight w:val="0"/>
          <w:marTop w:val="0"/>
          <w:marBottom w:val="0"/>
          <w:divBdr>
            <w:top w:val="none" w:sz="0" w:space="0" w:color="auto"/>
            <w:left w:val="none" w:sz="0" w:space="0" w:color="auto"/>
            <w:bottom w:val="none" w:sz="0" w:space="0" w:color="auto"/>
            <w:right w:val="none" w:sz="0" w:space="0" w:color="auto"/>
          </w:divBdr>
        </w:div>
        <w:div w:id="1146773971">
          <w:marLeft w:val="0"/>
          <w:marRight w:val="0"/>
          <w:marTop w:val="0"/>
          <w:marBottom w:val="0"/>
          <w:divBdr>
            <w:top w:val="none" w:sz="0" w:space="0" w:color="auto"/>
            <w:left w:val="none" w:sz="0" w:space="0" w:color="auto"/>
            <w:bottom w:val="none" w:sz="0" w:space="0" w:color="auto"/>
            <w:right w:val="none" w:sz="0" w:space="0" w:color="auto"/>
          </w:divBdr>
        </w:div>
        <w:div w:id="1858304101">
          <w:marLeft w:val="0"/>
          <w:marRight w:val="0"/>
          <w:marTop w:val="0"/>
          <w:marBottom w:val="0"/>
          <w:divBdr>
            <w:top w:val="none" w:sz="0" w:space="0" w:color="auto"/>
            <w:left w:val="none" w:sz="0" w:space="0" w:color="auto"/>
            <w:bottom w:val="none" w:sz="0" w:space="0" w:color="auto"/>
            <w:right w:val="none" w:sz="0" w:space="0" w:color="auto"/>
          </w:divBdr>
        </w:div>
        <w:div w:id="433134956">
          <w:marLeft w:val="0"/>
          <w:marRight w:val="0"/>
          <w:marTop w:val="0"/>
          <w:marBottom w:val="0"/>
          <w:divBdr>
            <w:top w:val="none" w:sz="0" w:space="0" w:color="auto"/>
            <w:left w:val="none" w:sz="0" w:space="0" w:color="auto"/>
            <w:bottom w:val="none" w:sz="0" w:space="0" w:color="auto"/>
            <w:right w:val="none" w:sz="0" w:space="0" w:color="auto"/>
          </w:divBdr>
        </w:div>
        <w:div w:id="1335186175">
          <w:marLeft w:val="0"/>
          <w:marRight w:val="0"/>
          <w:marTop w:val="0"/>
          <w:marBottom w:val="0"/>
          <w:divBdr>
            <w:top w:val="none" w:sz="0" w:space="0" w:color="auto"/>
            <w:left w:val="none" w:sz="0" w:space="0" w:color="auto"/>
            <w:bottom w:val="none" w:sz="0" w:space="0" w:color="auto"/>
            <w:right w:val="none" w:sz="0" w:space="0" w:color="auto"/>
          </w:divBdr>
        </w:div>
        <w:div w:id="1151750583">
          <w:marLeft w:val="0"/>
          <w:marRight w:val="0"/>
          <w:marTop w:val="0"/>
          <w:marBottom w:val="0"/>
          <w:divBdr>
            <w:top w:val="none" w:sz="0" w:space="0" w:color="auto"/>
            <w:left w:val="none" w:sz="0" w:space="0" w:color="auto"/>
            <w:bottom w:val="none" w:sz="0" w:space="0" w:color="auto"/>
            <w:right w:val="none" w:sz="0" w:space="0" w:color="auto"/>
          </w:divBdr>
        </w:div>
        <w:div w:id="1686321556">
          <w:marLeft w:val="0"/>
          <w:marRight w:val="0"/>
          <w:marTop w:val="0"/>
          <w:marBottom w:val="0"/>
          <w:divBdr>
            <w:top w:val="none" w:sz="0" w:space="0" w:color="auto"/>
            <w:left w:val="none" w:sz="0" w:space="0" w:color="auto"/>
            <w:bottom w:val="none" w:sz="0" w:space="0" w:color="auto"/>
            <w:right w:val="none" w:sz="0" w:space="0" w:color="auto"/>
          </w:divBdr>
        </w:div>
        <w:div w:id="43986563">
          <w:marLeft w:val="0"/>
          <w:marRight w:val="0"/>
          <w:marTop w:val="0"/>
          <w:marBottom w:val="0"/>
          <w:divBdr>
            <w:top w:val="none" w:sz="0" w:space="0" w:color="auto"/>
            <w:left w:val="none" w:sz="0" w:space="0" w:color="auto"/>
            <w:bottom w:val="none" w:sz="0" w:space="0" w:color="auto"/>
            <w:right w:val="none" w:sz="0" w:space="0" w:color="auto"/>
          </w:divBdr>
        </w:div>
        <w:div w:id="977034004">
          <w:marLeft w:val="0"/>
          <w:marRight w:val="0"/>
          <w:marTop w:val="0"/>
          <w:marBottom w:val="0"/>
          <w:divBdr>
            <w:top w:val="none" w:sz="0" w:space="0" w:color="auto"/>
            <w:left w:val="none" w:sz="0" w:space="0" w:color="auto"/>
            <w:bottom w:val="none" w:sz="0" w:space="0" w:color="auto"/>
            <w:right w:val="none" w:sz="0" w:space="0" w:color="auto"/>
          </w:divBdr>
        </w:div>
        <w:div w:id="976226316">
          <w:marLeft w:val="0"/>
          <w:marRight w:val="0"/>
          <w:marTop w:val="0"/>
          <w:marBottom w:val="0"/>
          <w:divBdr>
            <w:top w:val="none" w:sz="0" w:space="0" w:color="auto"/>
            <w:left w:val="none" w:sz="0" w:space="0" w:color="auto"/>
            <w:bottom w:val="none" w:sz="0" w:space="0" w:color="auto"/>
            <w:right w:val="none" w:sz="0" w:space="0" w:color="auto"/>
          </w:divBdr>
        </w:div>
        <w:div w:id="397897216">
          <w:marLeft w:val="0"/>
          <w:marRight w:val="0"/>
          <w:marTop w:val="0"/>
          <w:marBottom w:val="0"/>
          <w:divBdr>
            <w:top w:val="none" w:sz="0" w:space="0" w:color="auto"/>
            <w:left w:val="none" w:sz="0" w:space="0" w:color="auto"/>
            <w:bottom w:val="none" w:sz="0" w:space="0" w:color="auto"/>
            <w:right w:val="none" w:sz="0" w:space="0" w:color="auto"/>
          </w:divBdr>
        </w:div>
        <w:div w:id="570581143">
          <w:marLeft w:val="0"/>
          <w:marRight w:val="0"/>
          <w:marTop w:val="0"/>
          <w:marBottom w:val="0"/>
          <w:divBdr>
            <w:top w:val="none" w:sz="0" w:space="0" w:color="auto"/>
            <w:left w:val="none" w:sz="0" w:space="0" w:color="auto"/>
            <w:bottom w:val="none" w:sz="0" w:space="0" w:color="auto"/>
            <w:right w:val="none" w:sz="0" w:space="0" w:color="auto"/>
          </w:divBdr>
        </w:div>
        <w:div w:id="56825982">
          <w:marLeft w:val="0"/>
          <w:marRight w:val="0"/>
          <w:marTop w:val="0"/>
          <w:marBottom w:val="0"/>
          <w:divBdr>
            <w:top w:val="none" w:sz="0" w:space="0" w:color="auto"/>
            <w:left w:val="none" w:sz="0" w:space="0" w:color="auto"/>
            <w:bottom w:val="none" w:sz="0" w:space="0" w:color="auto"/>
            <w:right w:val="none" w:sz="0" w:space="0" w:color="auto"/>
          </w:divBdr>
        </w:div>
        <w:div w:id="839468173">
          <w:marLeft w:val="0"/>
          <w:marRight w:val="0"/>
          <w:marTop w:val="0"/>
          <w:marBottom w:val="0"/>
          <w:divBdr>
            <w:top w:val="none" w:sz="0" w:space="0" w:color="auto"/>
            <w:left w:val="none" w:sz="0" w:space="0" w:color="auto"/>
            <w:bottom w:val="none" w:sz="0" w:space="0" w:color="auto"/>
            <w:right w:val="none" w:sz="0" w:space="0" w:color="auto"/>
          </w:divBdr>
        </w:div>
        <w:div w:id="1531603343">
          <w:marLeft w:val="0"/>
          <w:marRight w:val="0"/>
          <w:marTop w:val="0"/>
          <w:marBottom w:val="0"/>
          <w:divBdr>
            <w:top w:val="none" w:sz="0" w:space="0" w:color="auto"/>
            <w:left w:val="none" w:sz="0" w:space="0" w:color="auto"/>
            <w:bottom w:val="none" w:sz="0" w:space="0" w:color="auto"/>
            <w:right w:val="none" w:sz="0" w:space="0" w:color="auto"/>
          </w:divBdr>
        </w:div>
        <w:div w:id="645470476">
          <w:marLeft w:val="0"/>
          <w:marRight w:val="0"/>
          <w:marTop w:val="0"/>
          <w:marBottom w:val="0"/>
          <w:divBdr>
            <w:top w:val="none" w:sz="0" w:space="0" w:color="auto"/>
            <w:left w:val="none" w:sz="0" w:space="0" w:color="auto"/>
            <w:bottom w:val="none" w:sz="0" w:space="0" w:color="auto"/>
            <w:right w:val="none" w:sz="0" w:space="0" w:color="auto"/>
          </w:divBdr>
        </w:div>
        <w:div w:id="2070181889">
          <w:marLeft w:val="0"/>
          <w:marRight w:val="0"/>
          <w:marTop w:val="0"/>
          <w:marBottom w:val="0"/>
          <w:divBdr>
            <w:top w:val="none" w:sz="0" w:space="0" w:color="auto"/>
            <w:left w:val="none" w:sz="0" w:space="0" w:color="auto"/>
            <w:bottom w:val="none" w:sz="0" w:space="0" w:color="auto"/>
            <w:right w:val="none" w:sz="0" w:space="0" w:color="auto"/>
          </w:divBdr>
        </w:div>
        <w:div w:id="395474574">
          <w:marLeft w:val="0"/>
          <w:marRight w:val="0"/>
          <w:marTop w:val="0"/>
          <w:marBottom w:val="0"/>
          <w:divBdr>
            <w:top w:val="none" w:sz="0" w:space="0" w:color="auto"/>
            <w:left w:val="none" w:sz="0" w:space="0" w:color="auto"/>
            <w:bottom w:val="none" w:sz="0" w:space="0" w:color="auto"/>
            <w:right w:val="none" w:sz="0" w:space="0" w:color="auto"/>
          </w:divBdr>
        </w:div>
        <w:div w:id="1775976201">
          <w:marLeft w:val="0"/>
          <w:marRight w:val="0"/>
          <w:marTop w:val="0"/>
          <w:marBottom w:val="0"/>
          <w:divBdr>
            <w:top w:val="none" w:sz="0" w:space="0" w:color="auto"/>
            <w:left w:val="none" w:sz="0" w:space="0" w:color="auto"/>
            <w:bottom w:val="none" w:sz="0" w:space="0" w:color="auto"/>
            <w:right w:val="none" w:sz="0" w:space="0" w:color="auto"/>
          </w:divBdr>
        </w:div>
        <w:div w:id="531919722">
          <w:marLeft w:val="0"/>
          <w:marRight w:val="0"/>
          <w:marTop w:val="0"/>
          <w:marBottom w:val="0"/>
          <w:divBdr>
            <w:top w:val="none" w:sz="0" w:space="0" w:color="auto"/>
            <w:left w:val="none" w:sz="0" w:space="0" w:color="auto"/>
            <w:bottom w:val="none" w:sz="0" w:space="0" w:color="auto"/>
            <w:right w:val="none" w:sz="0" w:space="0" w:color="auto"/>
          </w:divBdr>
        </w:div>
        <w:div w:id="1405374779">
          <w:marLeft w:val="0"/>
          <w:marRight w:val="0"/>
          <w:marTop w:val="0"/>
          <w:marBottom w:val="0"/>
          <w:divBdr>
            <w:top w:val="none" w:sz="0" w:space="0" w:color="auto"/>
            <w:left w:val="none" w:sz="0" w:space="0" w:color="auto"/>
            <w:bottom w:val="none" w:sz="0" w:space="0" w:color="auto"/>
            <w:right w:val="none" w:sz="0" w:space="0" w:color="auto"/>
          </w:divBdr>
        </w:div>
        <w:div w:id="1592742120">
          <w:marLeft w:val="0"/>
          <w:marRight w:val="0"/>
          <w:marTop w:val="0"/>
          <w:marBottom w:val="0"/>
          <w:divBdr>
            <w:top w:val="none" w:sz="0" w:space="0" w:color="auto"/>
            <w:left w:val="none" w:sz="0" w:space="0" w:color="auto"/>
            <w:bottom w:val="none" w:sz="0" w:space="0" w:color="auto"/>
            <w:right w:val="none" w:sz="0" w:space="0" w:color="auto"/>
          </w:divBdr>
        </w:div>
        <w:div w:id="915479240">
          <w:marLeft w:val="0"/>
          <w:marRight w:val="0"/>
          <w:marTop w:val="0"/>
          <w:marBottom w:val="0"/>
          <w:divBdr>
            <w:top w:val="none" w:sz="0" w:space="0" w:color="auto"/>
            <w:left w:val="none" w:sz="0" w:space="0" w:color="auto"/>
            <w:bottom w:val="none" w:sz="0" w:space="0" w:color="auto"/>
            <w:right w:val="none" w:sz="0" w:space="0" w:color="auto"/>
          </w:divBdr>
        </w:div>
        <w:div w:id="64107111">
          <w:marLeft w:val="0"/>
          <w:marRight w:val="0"/>
          <w:marTop w:val="0"/>
          <w:marBottom w:val="0"/>
          <w:divBdr>
            <w:top w:val="none" w:sz="0" w:space="0" w:color="auto"/>
            <w:left w:val="none" w:sz="0" w:space="0" w:color="auto"/>
            <w:bottom w:val="none" w:sz="0" w:space="0" w:color="auto"/>
            <w:right w:val="none" w:sz="0" w:space="0" w:color="auto"/>
          </w:divBdr>
        </w:div>
        <w:div w:id="955715615">
          <w:marLeft w:val="0"/>
          <w:marRight w:val="0"/>
          <w:marTop w:val="0"/>
          <w:marBottom w:val="0"/>
          <w:divBdr>
            <w:top w:val="none" w:sz="0" w:space="0" w:color="auto"/>
            <w:left w:val="none" w:sz="0" w:space="0" w:color="auto"/>
            <w:bottom w:val="none" w:sz="0" w:space="0" w:color="auto"/>
            <w:right w:val="none" w:sz="0" w:space="0" w:color="auto"/>
          </w:divBdr>
        </w:div>
        <w:div w:id="2032796038">
          <w:marLeft w:val="0"/>
          <w:marRight w:val="0"/>
          <w:marTop w:val="0"/>
          <w:marBottom w:val="0"/>
          <w:divBdr>
            <w:top w:val="none" w:sz="0" w:space="0" w:color="auto"/>
            <w:left w:val="none" w:sz="0" w:space="0" w:color="auto"/>
            <w:bottom w:val="none" w:sz="0" w:space="0" w:color="auto"/>
            <w:right w:val="none" w:sz="0" w:space="0" w:color="auto"/>
          </w:divBdr>
        </w:div>
        <w:div w:id="91242230">
          <w:marLeft w:val="0"/>
          <w:marRight w:val="0"/>
          <w:marTop w:val="0"/>
          <w:marBottom w:val="0"/>
          <w:divBdr>
            <w:top w:val="none" w:sz="0" w:space="0" w:color="auto"/>
            <w:left w:val="none" w:sz="0" w:space="0" w:color="auto"/>
            <w:bottom w:val="none" w:sz="0" w:space="0" w:color="auto"/>
            <w:right w:val="none" w:sz="0" w:space="0" w:color="auto"/>
          </w:divBdr>
        </w:div>
        <w:div w:id="1736660341">
          <w:marLeft w:val="0"/>
          <w:marRight w:val="0"/>
          <w:marTop w:val="0"/>
          <w:marBottom w:val="0"/>
          <w:divBdr>
            <w:top w:val="none" w:sz="0" w:space="0" w:color="auto"/>
            <w:left w:val="none" w:sz="0" w:space="0" w:color="auto"/>
            <w:bottom w:val="none" w:sz="0" w:space="0" w:color="auto"/>
            <w:right w:val="none" w:sz="0" w:space="0" w:color="auto"/>
          </w:divBdr>
        </w:div>
        <w:div w:id="802818898">
          <w:marLeft w:val="0"/>
          <w:marRight w:val="0"/>
          <w:marTop w:val="0"/>
          <w:marBottom w:val="0"/>
          <w:divBdr>
            <w:top w:val="none" w:sz="0" w:space="0" w:color="auto"/>
            <w:left w:val="none" w:sz="0" w:space="0" w:color="auto"/>
            <w:bottom w:val="none" w:sz="0" w:space="0" w:color="auto"/>
            <w:right w:val="none" w:sz="0" w:space="0" w:color="auto"/>
          </w:divBdr>
        </w:div>
        <w:div w:id="1292200841">
          <w:marLeft w:val="0"/>
          <w:marRight w:val="0"/>
          <w:marTop w:val="0"/>
          <w:marBottom w:val="0"/>
          <w:divBdr>
            <w:top w:val="none" w:sz="0" w:space="0" w:color="auto"/>
            <w:left w:val="none" w:sz="0" w:space="0" w:color="auto"/>
            <w:bottom w:val="none" w:sz="0" w:space="0" w:color="auto"/>
            <w:right w:val="none" w:sz="0" w:space="0" w:color="auto"/>
          </w:divBdr>
        </w:div>
        <w:div w:id="1445880252">
          <w:marLeft w:val="0"/>
          <w:marRight w:val="0"/>
          <w:marTop w:val="0"/>
          <w:marBottom w:val="0"/>
          <w:divBdr>
            <w:top w:val="none" w:sz="0" w:space="0" w:color="auto"/>
            <w:left w:val="none" w:sz="0" w:space="0" w:color="auto"/>
            <w:bottom w:val="none" w:sz="0" w:space="0" w:color="auto"/>
            <w:right w:val="none" w:sz="0" w:space="0" w:color="auto"/>
          </w:divBdr>
        </w:div>
        <w:div w:id="319042439">
          <w:marLeft w:val="0"/>
          <w:marRight w:val="0"/>
          <w:marTop w:val="0"/>
          <w:marBottom w:val="0"/>
          <w:divBdr>
            <w:top w:val="none" w:sz="0" w:space="0" w:color="auto"/>
            <w:left w:val="none" w:sz="0" w:space="0" w:color="auto"/>
            <w:bottom w:val="none" w:sz="0" w:space="0" w:color="auto"/>
            <w:right w:val="none" w:sz="0" w:space="0" w:color="auto"/>
          </w:divBdr>
        </w:div>
        <w:div w:id="1066336707">
          <w:marLeft w:val="0"/>
          <w:marRight w:val="0"/>
          <w:marTop w:val="0"/>
          <w:marBottom w:val="0"/>
          <w:divBdr>
            <w:top w:val="none" w:sz="0" w:space="0" w:color="auto"/>
            <w:left w:val="none" w:sz="0" w:space="0" w:color="auto"/>
            <w:bottom w:val="none" w:sz="0" w:space="0" w:color="auto"/>
            <w:right w:val="none" w:sz="0" w:space="0" w:color="auto"/>
          </w:divBdr>
        </w:div>
        <w:div w:id="638846410">
          <w:marLeft w:val="0"/>
          <w:marRight w:val="0"/>
          <w:marTop w:val="0"/>
          <w:marBottom w:val="0"/>
          <w:divBdr>
            <w:top w:val="none" w:sz="0" w:space="0" w:color="auto"/>
            <w:left w:val="none" w:sz="0" w:space="0" w:color="auto"/>
            <w:bottom w:val="none" w:sz="0" w:space="0" w:color="auto"/>
            <w:right w:val="none" w:sz="0" w:space="0" w:color="auto"/>
          </w:divBdr>
        </w:div>
        <w:div w:id="1602762028">
          <w:marLeft w:val="0"/>
          <w:marRight w:val="0"/>
          <w:marTop w:val="0"/>
          <w:marBottom w:val="0"/>
          <w:divBdr>
            <w:top w:val="none" w:sz="0" w:space="0" w:color="auto"/>
            <w:left w:val="none" w:sz="0" w:space="0" w:color="auto"/>
            <w:bottom w:val="none" w:sz="0" w:space="0" w:color="auto"/>
            <w:right w:val="none" w:sz="0" w:space="0" w:color="auto"/>
          </w:divBdr>
        </w:div>
        <w:div w:id="1030378818">
          <w:marLeft w:val="0"/>
          <w:marRight w:val="0"/>
          <w:marTop w:val="0"/>
          <w:marBottom w:val="0"/>
          <w:divBdr>
            <w:top w:val="none" w:sz="0" w:space="0" w:color="auto"/>
            <w:left w:val="none" w:sz="0" w:space="0" w:color="auto"/>
            <w:bottom w:val="none" w:sz="0" w:space="0" w:color="auto"/>
            <w:right w:val="none" w:sz="0" w:space="0" w:color="auto"/>
          </w:divBdr>
        </w:div>
        <w:div w:id="1102455900">
          <w:marLeft w:val="0"/>
          <w:marRight w:val="0"/>
          <w:marTop w:val="0"/>
          <w:marBottom w:val="0"/>
          <w:divBdr>
            <w:top w:val="none" w:sz="0" w:space="0" w:color="auto"/>
            <w:left w:val="none" w:sz="0" w:space="0" w:color="auto"/>
            <w:bottom w:val="none" w:sz="0" w:space="0" w:color="auto"/>
            <w:right w:val="none" w:sz="0" w:space="0" w:color="auto"/>
          </w:divBdr>
        </w:div>
        <w:div w:id="1205674733">
          <w:marLeft w:val="0"/>
          <w:marRight w:val="0"/>
          <w:marTop w:val="0"/>
          <w:marBottom w:val="0"/>
          <w:divBdr>
            <w:top w:val="none" w:sz="0" w:space="0" w:color="auto"/>
            <w:left w:val="none" w:sz="0" w:space="0" w:color="auto"/>
            <w:bottom w:val="none" w:sz="0" w:space="0" w:color="auto"/>
            <w:right w:val="none" w:sz="0" w:space="0" w:color="auto"/>
          </w:divBdr>
        </w:div>
        <w:div w:id="1809279119">
          <w:marLeft w:val="0"/>
          <w:marRight w:val="0"/>
          <w:marTop w:val="0"/>
          <w:marBottom w:val="0"/>
          <w:divBdr>
            <w:top w:val="none" w:sz="0" w:space="0" w:color="auto"/>
            <w:left w:val="none" w:sz="0" w:space="0" w:color="auto"/>
            <w:bottom w:val="none" w:sz="0" w:space="0" w:color="auto"/>
            <w:right w:val="none" w:sz="0" w:space="0" w:color="auto"/>
          </w:divBdr>
        </w:div>
        <w:div w:id="663973019">
          <w:marLeft w:val="0"/>
          <w:marRight w:val="0"/>
          <w:marTop w:val="0"/>
          <w:marBottom w:val="0"/>
          <w:divBdr>
            <w:top w:val="none" w:sz="0" w:space="0" w:color="auto"/>
            <w:left w:val="none" w:sz="0" w:space="0" w:color="auto"/>
            <w:bottom w:val="none" w:sz="0" w:space="0" w:color="auto"/>
            <w:right w:val="none" w:sz="0" w:space="0" w:color="auto"/>
          </w:divBdr>
        </w:div>
        <w:div w:id="1907641197">
          <w:marLeft w:val="0"/>
          <w:marRight w:val="0"/>
          <w:marTop w:val="0"/>
          <w:marBottom w:val="0"/>
          <w:divBdr>
            <w:top w:val="none" w:sz="0" w:space="0" w:color="auto"/>
            <w:left w:val="none" w:sz="0" w:space="0" w:color="auto"/>
            <w:bottom w:val="none" w:sz="0" w:space="0" w:color="auto"/>
            <w:right w:val="none" w:sz="0" w:space="0" w:color="auto"/>
          </w:divBdr>
        </w:div>
        <w:div w:id="1517498219">
          <w:marLeft w:val="0"/>
          <w:marRight w:val="0"/>
          <w:marTop w:val="0"/>
          <w:marBottom w:val="0"/>
          <w:divBdr>
            <w:top w:val="none" w:sz="0" w:space="0" w:color="auto"/>
            <w:left w:val="none" w:sz="0" w:space="0" w:color="auto"/>
            <w:bottom w:val="none" w:sz="0" w:space="0" w:color="auto"/>
            <w:right w:val="none" w:sz="0" w:space="0" w:color="auto"/>
          </w:divBdr>
        </w:div>
        <w:div w:id="2026595795">
          <w:marLeft w:val="0"/>
          <w:marRight w:val="0"/>
          <w:marTop w:val="0"/>
          <w:marBottom w:val="0"/>
          <w:divBdr>
            <w:top w:val="none" w:sz="0" w:space="0" w:color="auto"/>
            <w:left w:val="none" w:sz="0" w:space="0" w:color="auto"/>
            <w:bottom w:val="none" w:sz="0" w:space="0" w:color="auto"/>
            <w:right w:val="none" w:sz="0" w:space="0" w:color="auto"/>
          </w:divBdr>
        </w:div>
        <w:div w:id="1902252944">
          <w:marLeft w:val="0"/>
          <w:marRight w:val="0"/>
          <w:marTop w:val="0"/>
          <w:marBottom w:val="0"/>
          <w:divBdr>
            <w:top w:val="none" w:sz="0" w:space="0" w:color="auto"/>
            <w:left w:val="none" w:sz="0" w:space="0" w:color="auto"/>
            <w:bottom w:val="none" w:sz="0" w:space="0" w:color="auto"/>
            <w:right w:val="none" w:sz="0" w:space="0" w:color="auto"/>
          </w:divBdr>
        </w:div>
        <w:div w:id="1806894031">
          <w:marLeft w:val="0"/>
          <w:marRight w:val="0"/>
          <w:marTop w:val="0"/>
          <w:marBottom w:val="0"/>
          <w:divBdr>
            <w:top w:val="none" w:sz="0" w:space="0" w:color="auto"/>
            <w:left w:val="none" w:sz="0" w:space="0" w:color="auto"/>
            <w:bottom w:val="none" w:sz="0" w:space="0" w:color="auto"/>
            <w:right w:val="none" w:sz="0" w:space="0" w:color="auto"/>
          </w:divBdr>
        </w:div>
        <w:div w:id="1687906826">
          <w:marLeft w:val="0"/>
          <w:marRight w:val="0"/>
          <w:marTop w:val="0"/>
          <w:marBottom w:val="0"/>
          <w:divBdr>
            <w:top w:val="none" w:sz="0" w:space="0" w:color="auto"/>
            <w:left w:val="none" w:sz="0" w:space="0" w:color="auto"/>
            <w:bottom w:val="none" w:sz="0" w:space="0" w:color="auto"/>
            <w:right w:val="none" w:sz="0" w:space="0" w:color="auto"/>
          </w:divBdr>
        </w:div>
        <w:div w:id="634215775">
          <w:marLeft w:val="0"/>
          <w:marRight w:val="0"/>
          <w:marTop w:val="0"/>
          <w:marBottom w:val="0"/>
          <w:divBdr>
            <w:top w:val="none" w:sz="0" w:space="0" w:color="auto"/>
            <w:left w:val="none" w:sz="0" w:space="0" w:color="auto"/>
            <w:bottom w:val="none" w:sz="0" w:space="0" w:color="auto"/>
            <w:right w:val="none" w:sz="0" w:space="0" w:color="auto"/>
          </w:divBdr>
        </w:div>
        <w:div w:id="1886138896">
          <w:marLeft w:val="0"/>
          <w:marRight w:val="0"/>
          <w:marTop w:val="0"/>
          <w:marBottom w:val="0"/>
          <w:divBdr>
            <w:top w:val="none" w:sz="0" w:space="0" w:color="auto"/>
            <w:left w:val="none" w:sz="0" w:space="0" w:color="auto"/>
            <w:bottom w:val="none" w:sz="0" w:space="0" w:color="auto"/>
            <w:right w:val="none" w:sz="0" w:space="0" w:color="auto"/>
          </w:divBdr>
        </w:div>
        <w:div w:id="2031254896">
          <w:marLeft w:val="0"/>
          <w:marRight w:val="0"/>
          <w:marTop w:val="0"/>
          <w:marBottom w:val="0"/>
          <w:divBdr>
            <w:top w:val="none" w:sz="0" w:space="0" w:color="auto"/>
            <w:left w:val="none" w:sz="0" w:space="0" w:color="auto"/>
            <w:bottom w:val="none" w:sz="0" w:space="0" w:color="auto"/>
            <w:right w:val="none" w:sz="0" w:space="0" w:color="auto"/>
          </w:divBdr>
        </w:div>
        <w:div w:id="2090076820">
          <w:marLeft w:val="0"/>
          <w:marRight w:val="0"/>
          <w:marTop w:val="0"/>
          <w:marBottom w:val="0"/>
          <w:divBdr>
            <w:top w:val="none" w:sz="0" w:space="0" w:color="auto"/>
            <w:left w:val="none" w:sz="0" w:space="0" w:color="auto"/>
            <w:bottom w:val="none" w:sz="0" w:space="0" w:color="auto"/>
            <w:right w:val="none" w:sz="0" w:space="0" w:color="auto"/>
          </w:divBdr>
        </w:div>
        <w:div w:id="1954051260">
          <w:marLeft w:val="0"/>
          <w:marRight w:val="0"/>
          <w:marTop w:val="0"/>
          <w:marBottom w:val="0"/>
          <w:divBdr>
            <w:top w:val="none" w:sz="0" w:space="0" w:color="auto"/>
            <w:left w:val="none" w:sz="0" w:space="0" w:color="auto"/>
            <w:bottom w:val="none" w:sz="0" w:space="0" w:color="auto"/>
            <w:right w:val="none" w:sz="0" w:space="0" w:color="auto"/>
          </w:divBdr>
        </w:div>
        <w:div w:id="599341146">
          <w:marLeft w:val="0"/>
          <w:marRight w:val="0"/>
          <w:marTop w:val="0"/>
          <w:marBottom w:val="0"/>
          <w:divBdr>
            <w:top w:val="none" w:sz="0" w:space="0" w:color="auto"/>
            <w:left w:val="none" w:sz="0" w:space="0" w:color="auto"/>
            <w:bottom w:val="none" w:sz="0" w:space="0" w:color="auto"/>
            <w:right w:val="none" w:sz="0" w:space="0" w:color="auto"/>
          </w:divBdr>
        </w:div>
        <w:div w:id="2007976067">
          <w:marLeft w:val="0"/>
          <w:marRight w:val="0"/>
          <w:marTop w:val="0"/>
          <w:marBottom w:val="0"/>
          <w:divBdr>
            <w:top w:val="none" w:sz="0" w:space="0" w:color="auto"/>
            <w:left w:val="none" w:sz="0" w:space="0" w:color="auto"/>
            <w:bottom w:val="none" w:sz="0" w:space="0" w:color="auto"/>
            <w:right w:val="none" w:sz="0" w:space="0" w:color="auto"/>
          </w:divBdr>
        </w:div>
        <w:div w:id="1767506150">
          <w:marLeft w:val="0"/>
          <w:marRight w:val="0"/>
          <w:marTop w:val="0"/>
          <w:marBottom w:val="0"/>
          <w:divBdr>
            <w:top w:val="none" w:sz="0" w:space="0" w:color="auto"/>
            <w:left w:val="none" w:sz="0" w:space="0" w:color="auto"/>
            <w:bottom w:val="none" w:sz="0" w:space="0" w:color="auto"/>
            <w:right w:val="none" w:sz="0" w:space="0" w:color="auto"/>
          </w:divBdr>
        </w:div>
        <w:div w:id="129128685">
          <w:marLeft w:val="0"/>
          <w:marRight w:val="0"/>
          <w:marTop w:val="0"/>
          <w:marBottom w:val="0"/>
          <w:divBdr>
            <w:top w:val="none" w:sz="0" w:space="0" w:color="auto"/>
            <w:left w:val="none" w:sz="0" w:space="0" w:color="auto"/>
            <w:bottom w:val="none" w:sz="0" w:space="0" w:color="auto"/>
            <w:right w:val="none" w:sz="0" w:space="0" w:color="auto"/>
          </w:divBdr>
        </w:div>
        <w:div w:id="216085881">
          <w:marLeft w:val="0"/>
          <w:marRight w:val="0"/>
          <w:marTop w:val="0"/>
          <w:marBottom w:val="0"/>
          <w:divBdr>
            <w:top w:val="none" w:sz="0" w:space="0" w:color="auto"/>
            <w:left w:val="none" w:sz="0" w:space="0" w:color="auto"/>
            <w:bottom w:val="none" w:sz="0" w:space="0" w:color="auto"/>
            <w:right w:val="none" w:sz="0" w:space="0" w:color="auto"/>
          </w:divBdr>
        </w:div>
        <w:div w:id="1588999120">
          <w:marLeft w:val="0"/>
          <w:marRight w:val="0"/>
          <w:marTop w:val="0"/>
          <w:marBottom w:val="0"/>
          <w:divBdr>
            <w:top w:val="none" w:sz="0" w:space="0" w:color="auto"/>
            <w:left w:val="none" w:sz="0" w:space="0" w:color="auto"/>
            <w:bottom w:val="none" w:sz="0" w:space="0" w:color="auto"/>
            <w:right w:val="none" w:sz="0" w:space="0" w:color="auto"/>
          </w:divBdr>
        </w:div>
        <w:div w:id="985159488">
          <w:marLeft w:val="0"/>
          <w:marRight w:val="0"/>
          <w:marTop w:val="0"/>
          <w:marBottom w:val="0"/>
          <w:divBdr>
            <w:top w:val="none" w:sz="0" w:space="0" w:color="auto"/>
            <w:left w:val="none" w:sz="0" w:space="0" w:color="auto"/>
            <w:bottom w:val="none" w:sz="0" w:space="0" w:color="auto"/>
            <w:right w:val="none" w:sz="0" w:space="0" w:color="auto"/>
          </w:divBdr>
        </w:div>
        <w:div w:id="1819375305">
          <w:marLeft w:val="0"/>
          <w:marRight w:val="0"/>
          <w:marTop w:val="0"/>
          <w:marBottom w:val="0"/>
          <w:divBdr>
            <w:top w:val="none" w:sz="0" w:space="0" w:color="auto"/>
            <w:left w:val="none" w:sz="0" w:space="0" w:color="auto"/>
            <w:bottom w:val="none" w:sz="0" w:space="0" w:color="auto"/>
            <w:right w:val="none" w:sz="0" w:space="0" w:color="auto"/>
          </w:divBdr>
        </w:div>
        <w:div w:id="382751217">
          <w:marLeft w:val="0"/>
          <w:marRight w:val="0"/>
          <w:marTop w:val="0"/>
          <w:marBottom w:val="0"/>
          <w:divBdr>
            <w:top w:val="none" w:sz="0" w:space="0" w:color="auto"/>
            <w:left w:val="none" w:sz="0" w:space="0" w:color="auto"/>
            <w:bottom w:val="none" w:sz="0" w:space="0" w:color="auto"/>
            <w:right w:val="none" w:sz="0" w:space="0" w:color="auto"/>
          </w:divBdr>
        </w:div>
        <w:div w:id="23992279">
          <w:marLeft w:val="0"/>
          <w:marRight w:val="0"/>
          <w:marTop w:val="0"/>
          <w:marBottom w:val="0"/>
          <w:divBdr>
            <w:top w:val="none" w:sz="0" w:space="0" w:color="auto"/>
            <w:left w:val="none" w:sz="0" w:space="0" w:color="auto"/>
            <w:bottom w:val="none" w:sz="0" w:space="0" w:color="auto"/>
            <w:right w:val="none" w:sz="0" w:space="0" w:color="auto"/>
          </w:divBdr>
        </w:div>
        <w:div w:id="1178737524">
          <w:marLeft w:val="0"/>
          <w:marRight w:val="0"/>
          <w:marTop w:val="0"/>
          <w:marBottom w:val="0"/>
          <w:divBdr>
            <w:top w:val="none" w:sz="0" w:space="0" w:color="auto"/>
            <w:left w:val="none" w:sz="0" w:space="0" w:color="auto"/>
            <w:bottom w:val="none" w:sz="0" w:space="0" w:color="auto"/>
            <w:right w:val="none" w:sz="0" w:space="0" w:color="auto"/>
          </w:divBdr>
        </w:div>
        <w:div w:id="1744794601">
          <w:marLeft w:val="0"/>
          <w:marRight w:val="0"/>
          <w:marTop w:val="0"/>
          <w:marBottom w:val="0"/>
          <w:divBdr>
            <w:top w:val="none" w:sz="0" w:space="0" w:color="auto"/>
            <w:left w:val="none" w:sz="0" w:space="0" w:color="auto"/>
            <w:bottom w:val="none" w:sz="0" w:space="0" w:color="auto"/>
            <w:right w:val="none" w:sz="0" w:space="0" w:color="auto"/>
          </w:divBdr>
        </w:div>
        <w:div w:id="1790977304">
          <w:marLeft w:val="0"/>
          <w:marRight w:val="0"/>
          <w:marTop w:val="0"/>
          <w:marBottom w:val="0"/>
          <w:divBdr>
            <w:top w:val="none" w:sz="0" w:space="0" w:color="auto"/>
            <w:left w:val="none" w:sz="0" w:space="0" w:color="auto"/>
            <w:bottom w:val="none" w:sz="0" w:space="0" w:color="auto"/>
            <w:right w:val="none" w:sz="0" w:space="0" w:color="auto"/>
          </w:divBdr>
        </w:div>
        <w:div w:id="1574583969">
          <w:marLeft w:val="0"/>
          <w:marRight w:val="0"/>
          <w:marTop w:val="0"/>
          <w:marBottom w:val="0"/>
          <w:divBdr>
            <w:top w:val="none" w:sz="0" w:space="0" w:color="auto"/>
            <w:left w:val="none" w:sz="0" w:space="0" w:color="auto"/>
            <w:bottom w:val="none" w:sz="0" w:space="0" w:color="auto"/>
            <w:right w:val="none" w:sz="0" w:space="0" w:color="auto"/>
          </w:divBdr>
        </w:div>
        <w:div w:id="2074110782">
          <w:marLeft w:val="0"/>
          <w:marRight w:val="0"/>
          <w:marTop w:val="0"/>
          <w:marBottom w:val="0"/>
          <w:divBdr>
            <w:top w:val="none" w:sz="0" w:space="0" w:color="auto"/>
            <w:left w:val="none" w:sz="0" w:space="0" w:color="auto"/>
            <w:bottom w:val="none" w:sz="0" w:space="0" w:color="auto"/>
            <w:right w:val="none" w:sz="0" w:space="0" w:color="auto"/>
          </w:divBdr>
        </w:div>
        <w:div w:id="2134593656">
          <w:marLeft w:val="0"/>
          <w:marRight w:val="0"/>
          <w:marTop w:val="0"/>
          <w:marBottom w:val="0"/>
          <w:divBdr>
            <w:top w:val="none" w:sz="0" w:space="0" w:color="auto"/>
            <w:left w:val="none" w:sz="0" w:space="0" w:color="auto"/>
            <w:bottom w:val="none" w:sz="0" w:space="0" w:color="auto"/>
            <w:right w:val="none" w:sz="0" w:space="0" w:color="auto"/>
          </w:divBdr>
        </w:div>
        <w:div w:id="1413769731">
          <w:marLeft w:val="0"/>
          <w:marRight w:val="0"/>
          <w:marTop w:val="0"/>
          <w:marBottom w:val="0"/>
          <w:divBdr>
            <w:top w:val="none" w:sz="0" w:space="0" w:color="auto"/>
            <w:left w:val="none" w:sz="0" w:space="0" w:color="auto"/>
            <w:bottom w:val="none" w:sz="0" w:space="0" w:color="auto"/>
            <w:right w:val="none" w:sz="0" w:space="0" w:color="auto"/>
          </w:divBdr>
        </w:div>
        <w:div w:id="1069039517">
          <w:marLeft w:val="0"/>
          <w:marRight w:val="0"/>
          <w:marTop w:val="0"/>
          <w:marBottom w:val="0"/>
          <w:divBdr>
            <w:top w:val="none" w:sz="0" w:space="0" w:color="auto"/>
            <w:left w:val="none" w:sz="0" w:space="0" w:color="auto"/>
            <w:bottom w:val="none" w:sz="0" w:space="0" w:color="auto"/>
            <w:right w:val="none" w:sz="0" w:space="0" w:color="auto"/>
          </w:divBdr>
        </w:div>
        <w:div w:id="1207832653">
          <w:marLeft w:val="0"/>
          <w:marRight w:val="0"/>
          <w:marTop w:val="0"/>
          <w:marBottom w:val="0"/>
          <w:divBdr>
            <w:top w:val="none" w:sz="0" w:space="0" w:color="auto"/>
            <w:left w:val="none" w:sz="0" w:space="0" w:color="auto"/>
            <w:bottom w:val="none" w:sz="0" w:space="0" w:color="auto"/>
            <w:right w:val="none" w:sz="0" w:space="0" w:color="auto"/>
          </w:divBdr>
        </w:div>
        <w:div w:id="1204174098">
          <w:marLeft w:val="0"/>
          <w:marRight w:val="0"/>
          <w:marTop w:val="0"/>
          <w:marBottom w:val="0"/>
          <w:divBdr>
            <w:top w:val="none" w:sz="0" w:space="0" w:color="auto"/>
            <w:left w:val="none" w:sz="0" w:space="0" w:color="auto"/>
            <w:bottom w:val="none" w:sz="0" w:space="0" w:color="auto"/>
            <w:right w:val="none" w:sz="0" w:space="0" w:color="auto"/>
          </w:divBdr>
        </w:div>
        <w:div w:id="221717954">
          <w:marLeft w:val="0"/>
          <w:marRight w:val="0"/>
          <w:marTop w:val="0"/>
          <w:marBottom w:val="0"/>
          <w:divBdr>
            <w:top w:val="none" w:sz="0" w:space="0" w:color="auto"/>
            <w:left w:val="none" w:sz="0" w:space="0" w:color="auto"/>
            <w:bottom w:val="none" w:sz="0" w:space="0" w:color="auto"/>
            <w:right w:val="none" w:sz="0" w:space="0" w:color="auto"/>
          </w:divBdr>
        </w:div>
        <w:div w:id="670111053">
          <w:marLeft w:val="0"/>
          <w:marRight w:val="0"/>
          <w:marTop w:val="0"/>
          <w:marBottom w:val="0"/>
          <w:divBdr>
            <w:top w:val="none" w:sz="0" w:space="0" w:color="auto"/>
            <w:left w:val="none" w:sz="0" w:space="0" w:color="auto"/>
            <w:bottom w:val="none" w:sz="0" w:space="0" w:color="auto"/>
            <w:right w:val="none" w:sz="0" w:space="0" w:color="auto"/>
          </w:divBdr>
        </w:div>
        <w:div w:id="142235853">
          <w:marLeft w:val="0"/>
          <w:marRight w:val="0"/>
          <w:marTop w:val="0"/>
          <w:marBottom w:val="0"/>
          <w:divBdr>
            <w:top w:val="none" w:sz="0" w:space="0" w:color="auto"/>
            <w:left w:val="none" w:sz="0" w:space="0" w:color="auto"/>
            <w:bottom w:val="none" w:sz="0" w:space="0" w:color="auto"/>
            <w:right w:val="none" w:sz="0" w:space="0" w:color="auto"/>
          </w:divBdr>
        </w:div>
        <w:div w:id="1965118410">
          <w:marLeft w:val="0"/>
          <w:marRight w:val="0"/>
          <w:marTop w:val="0"/>
          <w:marBottom w:val="0"/>
          <w:divBdr>
            <w:top w:val="none" w:sz="0" w:space="0" w:color="auto"/>
            <w:left w:val="none" w:sz="0" w:space="0" w:color="auto"/>
            <w:bottom w:val="none" w:sz="0" w:space="0" w:color="auto"/>
            <w:right w:val="none" w:sz="0" w:space="0" w:color="auto"/>
          </w:divBdr>
        </w:div>
        <w:div w:id="951403376">
          <w:marLeft w:val="0"/>
          <w:marRight w:val="0"/>
          <w:marTop w:val="0"/>
          <w:marBottom w:val="0"/>
          <w:divBdr>
            <w:top w:val="none" w:sz="0" w:space="0" w:color="auto"/>
            <w:left w:val="none" w:sz="0" w:space="0" w:color="auto"/>
            <w:bottom w:val="none" w:sz="0" w:space="0" w:color="auto"/>
            <w:right w:val="none" w:sz="0" w:space="0" w:color="auto"/>
          </w:divBdr>
        </w:div>
        <w:div w:id="447622750">
          <w:marLeft w:val="0"/>
          <w:marRight w:val="0"/>
          <w:marTop w:val="0"/>
          <w:marBottom w:val="0"/>
          <w:divBdr>
            <w:top w:val="none" w:sz="0" w:space="0" w:color="auto"/>
            <w:left w:val="none" w:sz="0" w:space="0" w:color="auto"/>
            <w:bottom w:val="none" w:sz="0" w:space="0" w:color="auto"/>
            <w:right w:val="none" w:sz="0" w:space="0" w:color="auto"/>
          </w:divBdr>
        </w:div>
        <w:div w:id="290479234">
          <w:marLeft w:val="0"/>
          <w:marRight w:val="0"/>
          <w:marTop w:val="0"/>
          <w:marBottom w:val="0"/>
          <w:divBdr>
            <w:top w:val="none" w:sz="0" w:space="0" w:color="auto"/>
            <w:left w:val="none" w:sz="0" w:space="0" w:color="auto"/>
            <w:bottom w:val="none" w:sz="0" w:space="0" w:color="auto"/>
            <w:right w:val="none" w:sz="0" w:space="0" w:color="auto"/>
          </w:divBdr>
        </w:div>
        <w:div w:id="825898747">
          <w:marLeft w:val="0"/>
          <w:marRight w:val="0"/>
          <w:marTop w:val="0"/>
          <w:marBottom w:val="0"/>
          <w:divBdr>
            <w:top w:val="none" w:sz="0" w:space="0" w:color="auto"/>
            <w:left w:val="none" w:sz="0" w:space="0" w:color="auto"/>
            <w:bottom w:val="none" w:sz="0" w:space="0" w:color="auto"/>
            <w:right w:val="none" w:sz="0" w:space="0" w:color="auto"/>
          </w:divBdr>
        </w:div>
        <w:div w:id="1964461648">
          <w:marLeft w:val="0"/>
          <w:marRight w:val="0"/>
          <w:marTop w:val="0"/>
          <w:marBottom w:val="0"/>
          <w:divBdr>
            <w:top w:val="none" w:sz="0" w:space="0" w:color="auto"/>
            <w:left w:val="none" w:sz="0" w:space="0" w:color="auto"/>
            <w:bottom w:val="none" w:sz="0" w:space="0" w:color="auto"/>
            <w:right w:val="none" w:sz="0" w:space="0" w:color="auto"/>
          </w:divBdr>
        </w:div>
        <w:div w:id="755520146">
          <w:marLeft w:val="0"/>
          <w:marRight w:val="0"/>
          <w:marTop w:val="0"/>
          <w:marBottom w:val="0"/>
          <w:divBdr>
            <w:top w:val="none" w:sz="0" w:space="0" w:color="auto"/>
            <w:left w:val="none" w:sz="0" w:space="0" w:color="auto"/>
            <w:bottom w:val="none" w:sz="0" w:space="0" w:color="auto"/>
            <w:right w:val="none" w:sz="0" w:space="0" w:color="auto"/>
          </w:divBdr>
        </w:div>
        <w:div w:id="1325623219">
          <w:marLeft w:val="0"/>
          <w:marRight w:val="0"/>
          <w:marTop w:val="0"/>
          <w:marBottom w:val="0"/>
          <w:divBdr>
            <w:top w:val="none" w:sz="0" w:space="0" w:color="auto"/>
            <w:left w:val="none" w:sz="0" w:space="0" w:color="auto"/>
            <w:bottom w:val="none" w:sz="0" w:space="0" w:color="auto"/>
            <w:right w:val="none" w:sz="0" w:space="0" w:color="auto"/>
          </w:divBdr>
        </w:div>
        <w:div w:id="1160803600">
          <w:marLeft w:val="0"/>
          <w:marRight w:val="0"/>
          <w:marTop w:val="0"/>
          <w:marBottom w:val="0"/>
          <w:divBdr>
            <w:top w:val="none" w:sz="0" w:space="0" w:color="auto"/>
            <w:left w:val="none" w:sz="0" w:space="0" w:color="auto"/>
            <w:bottom w:val="none" w:sz="0" w:space="0" w:color="auto"/>
            <w:right w:val="none" w:sz="0" w:space="0" w:color="auto"/>
          </w:divBdr>
        </w:div>
        <w:div w:id="156071071">
          <w:marLeft w:val="0"/>
          <w:marRight w:val="0"/>
          <w:marTop w:val="0"/>
          <w:marBottom w:val="0"/>
          <w:divBdr>
            <w:top w:val="none" w:sz="0" w:space="0" w:color="auto"/>
            <w:left w:val="none" w:sz="0" w:space="0" w:color="auto"/>
            <w:bottom w:val="none" w:sz="0" w:space="0" w:color="auto"/>
            <w:right w:val="none" w:sz="0" w:space="0" w:color="auto"/>
          </w:divBdr>
        </w:div>
        <w:div w:id="1179807560">
          <w:marLeft w:val="0"/>
          <w:marRight w:val="0"/>
          <w:marTop w:val="0"/>
          <w:marBottom w:val="0"/>
          <w:divBdr>
            <w:top w:val="none" w:sz="0" w:space="0" w:color="auto"/>
            <w:left w:val="none" w:sz="0" w:space="0" w:color="auto"/>
            <w:bottom w:val="none" w:sz="0" w:space="0" w:color="auto"/>
            <w:right w:val="none" w:sz="0" w:space="0" w:color="auto"/>
          </w:divBdr>
        </w:div>
        <w:div w:id="2088187432">
          <w:marLeft w:val="0"/>
          <w:marRight w:val="0"/>
          <w:marTop w:val="0"/>
          <w:marBottom w:val="0"/>
          <w:divBdr>
            <w:top w:val="none" w:sz="0" w:space="0" w:color="auto"/>
            <w:left w:val="none" w:sz="0" w:space="0" w:color="auto"/>
            <w:bottom w:val="none" w:sz="0" w:space="0" w:color="auto"/>
            <w:right w:val="none" w:sz="0" w:space="0" w:color="auto"/>
          </w:divBdr>
        </w:div>
        <w:div w:id="996223171">
          <w:marLeft w:val="0"/>
          <w:marRight w:val="0"/>
          <w:marTop w:val="0"/>
          <w:marBottom w:val="0"/>
          <w:divBdr>
            <w:top w:val="none" w:sz="0" w:space="0" w:color="auto"/>
            <w:left w:val="none" w:sz="0" w:space="0" w:color="auto"/>
            <w:bottom w:val="none" w:sz="0" w:space="0" w:color="auto"/>
            <w:right w:val="none" w:sz="0" w:space="0" w:color="auto"/>
          </w:divBdr>
        </w:div>
        <w:div w:id="1471941149">
          <w:marLeft w:val="0"/>
          <w:marRight w:val="0"/>
          <w:marTop w:val="0"/>
          <w:marBottom w:val="0"/>
          <w:divBdr>
            <w:top w:val="none" w:sz="0" w:space="0" w:color="auto"/>
            <w:left w:val="none" w:sz="0" w:space="0" w:color="auto"/>
            <w:bottom w:val="none" w:sz="0" w:space="0" w:color="auto"/>
            <w:right w:val="none" w:sz="0" w:space="0" w:color="auto"/>
          </w:divBdr>
        </w:div>
        <w:div w:id="541330051">
          <w:marLeft w:val="0"/>
          <w:marRight w:val="0"/>
          <w:marTop w:val="0"/>
          <w:marBottom w:val="0"/>
          <w:divBdr>
            <w:top w:val="none" w:sz="0" w:space="0" w:color="auto"/>
            <w:left w:val="none" w:sz="0" w:space="0" w:color="auto"/>
            <w:bottom w:val="none" w:sz="0" w:space="0" w:color="auto"/>
            <w:right w:val="none" w:sz="0" w:space="0" w:color="auto"/>
          </w:divBdr>
        </w:div>
        <w:div w:id="370617467">
          <w:marLeft w:val="0"/>
          <w:marRight w:val="0"/>
          <w:marTop w:val="0"/>
          <w:marBottom w:val="0"/>
          <w:divBdr>
            <w:top w:val="none" w:sz="0" w:space="0" w:color="auto"/>
            <w:left w:val="none" w:sz="0" w:space="0" w:color="auto"/>
            <w:bottom w:val="none" w:sz="0" w:space="0" w:color="auto"/>
            <w:right w:val="none" w:sz="0" w:space="0" w:color="auto"/>
          </w:divBdr>
        </w:div>
        <w:div w:id="750732860">
          <w:marLeft w:val="0"/>
          <w:marRight w:val="0"/>
          <w:marTop w:val="0"/>
          <w:marBottom w:val="0"/>
          <w:divBdr>
            <w:top w:val="none" w:sz="0" w:space="0" w:color="auto"/>
            <w:left w:val="none" w:sz="0" w:space="0" w:color="auto"/>
            <w:bottom w:val="none" w:sz="0" w:space="0" w:color="auto"/>
            <w:right w:val="none" w:sz="0" w:space="0" w:color="auto"/>
          </w:divBdr>
        </w:div>
        <w:div w:id="1415325349">
          <w:marLeft w:val="0"/>
          <w:marRight w:val="0"/>
          <w:marTop w:val="0"/>
          <w:marBottom w:val="0"/>
          <w:divBdr>
            <w:top w:val="none" w:sz="0" w:space="0" w:color="auto"/>
            <w:left w:val="none" w:sz="0" w:space="0" w:color="auto"/>
            <w:bottom w:val="none" w:sz="0" w:space="0" w:color="auto"/>
            <w:right w:val="none" w:sz="0" w:space="0" w:color="auto"/>
          </w:divBdr>
        </w:div>
        <w:div w:id="1307053047">
          <w:marLeft w:val="0"/>
          <w:marRight w:val="0"/>
          <w:marTop w:val="0"/>
          <w:marBottom w:val="0"/>
          <w:divBdr>
            <w:top w:val="none" w:sz="0" w:space="0" w:color="auto"/>
            <w:left w:val="none" w:sz="0" w:space="0" w:color="auto"/>
            <w:bottom w:val="none" w:sz="0" w:space="0" w:color="auto"/>
            <w:right w:val="none" w:sz="0" w:space="0" w:color="auto"/>
          </w:divBdr>
        </w:div>
        <w:div w:id="337929185">
          <w:marLeft w:val="0"/>
          <w:marRight w:val="0"/>
          <w:marTop w:val="0"/>
          <w:marBottom w:val="0"/>
          <w:divBdr>
            <w:top w:val="none" w:sz="0" w:space="0" w:color="auto"/>
            <w:left w:val="none" w:sz="0" w:space="0" w:color="auto"/>
            <w:bottom w:val="none" w:sz="0" w:space="0" w:color="auto"/>
            <w:right w:val="none" w:sz="0" w:space="0" w:color="auto"/>
          </w:divBdr>
        </w:div>
        <w:div w:id="1916934652">
          <w:marLeft w:val="0"/>
          <w:marRight w:val="0"/>
          <w:marTop w:val="0"/>
          <w:marBottom w:val="0"/>
          <w:divBdr>
            <w:top w:val="none" w:sz="0" w:space="0" w:color="auto"/>
            <w:left w:val="none" w:sz="0" w:space="0" w:color="auto"/>
            <w:bottom w:val="none" w:sz="0" w:space="0" w:color="auto"/>
            <w:right w:val="none" w:sz="0" w:space="0" w:color="auto"/>
          </w:divBdr>
        </w:div>
        <w:div w:id="2122340267">
          <w:marLeft w:val="0"/>
          <w:marRight w:val="0"/>
          <w:marTop w:val="0"/>
          <w:marBottom w:val="0"/>
          <w:divBdr>
            <w:top w:val="none" w:sz="0" w:space="0" w:color="auto"/>
            <w:left w:val="none" w:sz="0" w:space="0" w:color="auto"/>
            <w:bottom w:val="none" w:sz="0" w:space="0" w:color="auto"/>
            <w:right w:val="none" w:sz="0" w:space="0" w:color="auto"/>
          </w:divBdr>
        </w:div>
        <w:div w:id="1962035191">
          <w:marLeft w:val="0"/>
          <w:marRight w:val="0"/>
          <w:marTop w:val="0"/>
          <w:marBottom w:val="0"/>
          <w:divBdr>
            <w:top w:val="none" w:sz="0" w:space="0" w:color="auto"/>
            <w:left w:val="none" w:sz="0" w:space="0" w:color="auto"/>
            <w:bottom w:val="none" w:sz="0" w:space="0" w:color="auto"/>
            <w:right w:val="none" w:sz="0" w:space="0" w:color="auto"/>
          </w:divBdr>
        </w:div>
        <w:div w:id="866332735">
          <w:marLeft w:val="0"/>
          <w:marRight w:val="0"/>
          <w:marTop w:val="0"/>
          <w:marBottom w:val="0"/>
          <w:divBdr>
            <w:top w:val="none" w:sz="0" w:space="0" w:color="auto"/>
            <w:left w:val="none" w:sz="0" w:space="0" w:color="auto"/>
            <w:bottom w:val="none" w:sz="0" w:space="0" w:color="auto"/>
            <w:right w:val="none" w:sz="0" w:space="0" w:color="auto"/>
          </w:divBdr>
        </w:div>
        <w:div w:id="477114282">
          <w:marLeft w:val="0"/>
          <w:marRight w:val="0"/>
          <w:marTop w:val="0"/>
          <w:marBottom w:val="0"/>
          <w:divBdr>
            <w:top w:val="none" w:sz="0" w:space="0" w:color="auto"/>
            <w:left w:val="none" w:sz="0" w:space="0" w:color="auto"/>
            <w:bottom w:val="none" w:sz="0" w:space="0" w:color="auto"/>
            <w:right w:val="none" w:sz="0" w:space="0" w:color="auto"/>
          </w:divBdr>
        </w:div>
        <w:div w:id="995105817">
          <w:marLeft w:val="0"/>
          <w:marRight w:val="0"/>
          <w:marTop w:val="0"/>
          <w:marBottom w:val="0"/>
          <w:divBdr>
            <w:top w:val="none" w:sz="0" w:space="0" w:color="auto"/>
            <w:left w:val="none" w:sz="0" w:space="0" w:color="auto"/>
            <w:bottom w:val="none" w:sz="0" w:space="0" w:color="auto"/>
            <w:right w:val="none" w:sz="0" w:space="0" w:color="auto"/>
          </w:divBdr>
        </w:div>
        <w:div w:id="625937727">
          <w:marLeft w:val="0"/>
          <w:marRight w:val="0"/>
          <w:marTop w:val="0"/>
          <w:marBottom w:val="0"/>
          <w:divBdr>
            <w:top w:val="none" w:sz="0" w:space="0" w:color="auto"/>
            <w:left w:val="none" w:sz="0" w:space="0" w:color="auto"/>
            <w:bottom w:val="none" w:sz="0" w:space="0" w:color="auto"/>
            <w:right w:val="none" w:sz="0" w:space="0" w:color="auto"/>
          </w:divBdr>
        </w:div>
        <w:div w:id="913659508">
          <w:marLeft w:val="0"/>
          <w:marRight w:val="0"/>
          <w:marTop w:val="0"/>
          <w:marBottom w:val="0"/>
          <w:divBdr>
            <w:top w:val="none" w:sz="0" w:space="0" w:color="auto"/>
            <w:left w:val="none" w:sz="0" w:space="0" w:color="auto"/>
            <w:bottom w:val="none" w:sz="0" w:space="0" w:color="auto"/>
            <w:right w:val="none" w:sz="0" w:space="0" w:color="auto"/>
          </w:divBdr>
        </w:div>
        <w:div w:id="1663309241">
          <w:marLeft w:val="0"/>
          <w:marRight w:val="0"/>
          <w:marTop w:val="0"/>
          <w:marBottom w:val="0"/>
          <w:divBdr>
            <w:top w:val="none" w:sz="0" w:space="0" w:color="auto"/>
            <w:left w:val="none" w:sz="0" w:space="0" w:color="auto"/>
            <w:bottom w:val="none" w:sz="0" w:space="0" w:color="auto"/>
            <w:right w:val="none" w:sz="0" w:space="0" w:color="auto"/>
          </w:divBdr>
        </w:div>
        <w:div w:id="1451195315">
          <w:marLeft w:val="0"/>
          <w:marRight w:val="0"/>
          <w:marTop w:val="0"/>
          <w:marBottom w:val="0"/>
          <w:divBdr>
            <w:top w:val="none" w:sz="0" w:space="0" w:color="auto"/>
            <w:left w:val="none" w:sz="0" w:space="0" w:color="auto"/>
            <w:bottom w:val="none" w:sz="0" w:space="0" w:color="auto"/>
            <w:right w:val="none" w:sz="0" w:space="0" w:color="auto"/>
          </w:divBdr>
        </w:div>
        <w:div w:id="1477575453">
          <w:marLeft w:val="0"/>
          <w:marRight w:val="0"/>
          <w:marTop w:val="0"/>
          <w:marBottom w:val="0"/>
          <w:divBdr>
            <w:top w:val="none" w:sz="0" w:space="0" w:color="auto"/>
            <w:left w:val="none" w:sz="0" w:space="0" w:color="auto"/>
            <w:bottom w:val="none" w:sz="0" w:space="0" w:color="auto"/>
            <w:right w:val="none" w:sz="0" w:space="0" w:color="auto"/>
          </w:divBdr>
        </w:div>
        <w:div w:id="1679884385">
          <w:marLeft w:val="0"/>
          <w:marRight w:val="0"/>
          <w:marTop w:val="0"/>
          <w:marBottom w:val="0"/>
          <w:divBdr>
            <w:top w:val="none" w:sz="0" w:space="0" w:color="auto"/>
            <w:left w:val="none" w:sz="0" w:space="0" w:color="auto"/>
            <w:bottom w:val="none" w:sz="0" w:space="0" w:color="auto"/>
            <w:right w:val="none" w:sz="0" w:space="0" w:color="auto"/>
          </w:divBdr>
        </w:div>
        <w:div w:id="1989823512">
          <w:marLeft w:val="0"/>
          <w:marRight w:val="0"/>
          <w:marTop w:val="0"/>
          <w:marBottom w:val="0"/>
          <w:divBdr>
            <w:top w:val="none" w:sz="0" w:space="0" w:color="auto"/>
            <w:left w:val="none" w:sz="0" w:space="0" w:color="auto"/>
            <w:bottom w:val="none" w:sz="0" w:space="0" w:color="auto"/>
            <w:right w:val="none" w:sz="0" w:space="0" w:color="auto"/>
          </w:divBdr>
        </w:div>
        <w:div w:id="320042281">
          <w:marLeft w:val="0"/>
          <w:marRight w:val="0"/>
          <w:marTop w:val="0"/>
          <w:marBottom w:val="0"/>
          <w:divBdr>
            <w:top w:val="none" w:sz="0" w:space="0" w:color="auto"/>
            <w:left w:val="none" w:sz="0" w:space="0" w:color="auto"/>
            <w:bottom w:val="none" w:sz="0" w:space="0" w:color="auto"/>
            <w:right w:val="none" w:sz="0" w:space="0" w:color="auto"/>
          </w:divBdr>
        </w:div>
        <w:div w:id="1411345773">
          <w:marLeft w:val="0"/>
          <w:marRight w:val="0"/>
          <w:marTop w:val="0"/>
          <w:marBottom w:val="0"/>
          <w:divBdr>
            <w:top w:val="none" w:sz="0" w:space="0" w:color="auto"/>
            <w:left w:val="none" w:sz="0" w:space="0" w:color="auto"/>
            <w:bottom w:val="none" w:sz="0" w:space="0" w:color="auto"/>
            <w:right w:val="none" w:sz="0" w:space="0" w:color="auto"/>
          </w:divBdr>
        </w:div>
        <w:div w:id="1066143049">
          <w:marLeft w:val="0"/>
          <w:marRight w:val="0"/>
          <w:marTop w:val="0"/>
          <w:marBottom w:val="0"/>
          <w:divBdr>
            <w:top w:val="none" w:sz="0" w:space="0" w:color="auto"/>
            <w:left w:val="none" w:sz="0" w:space="0" w:color="auto"/>
            <w:bottom w:val="none" w:sz="0" w:space="0" w:color="auto"/>
            <w:right w:val="none" w:sz="0" w:space="0" w:color="auto"/>
          </w:divBdr>
        </w:div>
        <w:div w:id="132604636">
          <w:marLeft w:val="0"/>
          <w:marRight w:val="0"/>
          <w:marTop w:val="0"/>
          <w:marBottom w:val="0"/>
          <w:divBdr>
            <w:top w:val="none" w:sz="0" w:space="0" w:color="auto"/>
            <w:left w:val="none" w:sz="0" w:space="0" w:color="auto"/>
            <w:bottom w:val="none" w:sz="0" w:space="0" w:color="auto"/>
            <w:right w:val="none" w:sz="0" w:space="0" w:color="auto"/>
          </w:divBdr>
        </w:div>
        <w:div w:id="1926843394">
          <w:marLeft w:val="0"/>
          <w:marRight w:val="0"/>
          <w:marTop w:val="0"/>
          <w:marBottom w:val="0"/>
          <w:divBdr>
            <w:top w:val="none" w:sz="0" w:space="0" w:color="auto"/>
            <w:left w:val="none" w:sz="0" w:space="0" w:color="auto"/>
            <w:bottom w:val="none" w:sz="0" w:space="0" w:color="auto"/>
            <w:right w:val="none" w:sz="0" w:space="0" w:color="auto"/>
          </w:divBdr>
        </w:div>
        <w:div w:id="168371506">
          <w:marLeft w:val="0"/>
          <w:marRight w:val="0"/>
          <w:marTop w:val="0"/>
          <w:marBottom w:val="0"/>
          <w:divBdr>
            <w:top w:val="none" w:sz="0" w:space="0" w:color="auto"/>
            <w:left w:val="none" w:sz="0" w:space="0" w:color="auto"/>
            <w:bottom w:val="none" w:sz="0" w:space="0" w:color="auto"/>
            <w:right w:val="none" w:sz="0" w:space="0" w:color="auto"/>
          </w:divBdr>
        </w:div>
        <w:div w:id="566644458">
          <w:marLeft w:val="0"/>
          <w:marRight w:val="0"/>
          <w:marTop w:val="0"/>
          <w:marBottom w:val="0"/>
          <w:divBdr>
            <w:top w:val="none" w:sz="0" w:space="0" w:color="auto"/>
            <w:left w:val="none" w:sz="0" w:space="0" w:color="auto"/>
            <w:bottom w:val="none" w:sz="0" w:space="0" w:color="auto"/>
            <w:right w:val="none" w:sz="0" w:space="0" w:color="auto"/>
          </w:divBdr>
        </w:div>
        <w:div w:id="895361638">
          <w:marLeft w:val="0"/>
          <w:marRight w:val="0"/>
          <w:marTop w:val="0"/>
          <w:marBottom w:val="0"/>
          <w:divBdr>
            <w:top w:val="none" w:sz="0" w:space="0" w:color="auto"/>
            <w:left w:val="none" w:sz="0" w:space="0" w:color="auto"/>
            <w:bottom w:val="none" w:sz="0" w:space="0" w:color="auto"/>
            <w:right w:val="none" w:sz="0" w:space="0" w:color="auto"/>
          </w:divBdr>
        </w:div>
        <w:div w:id="1334986641">
          <w:marLeft w:val="0"/>
          <w:marRight w:val="0"/>
          <w:marTop w:val="0"/>
          <w:marBottom w:val="0"/>
          <w:divBdr>
            <w:top w:val="none" w:sz="0" w:space="0" w:color="auto"/>
            <w:left w:val="none" w:sz="0" w:space="0" w:color="auto"/>
            <w:bottom w:val="none" w:sz="0" w:space="0" w:color="auto"/>
            <w:right w:val="none" w:sz="0" w:space="0" w:color="auto"/>
          </w:divBdr>
        </w:div>
        <w:div w:id="344478320">
          <w:marLeft w:val="0"/>
          <w:marRight w:val="0"/>
          <w:marTop w:val="0"/>
          <w:marBottom w:val="0"/>
          <w:divBdr>
            <w:top w:val="none" w:sz="0" w:space="0" w:color="auto"/>
            <w:left w:val="none" w:sz="0" w:space="0" w:color="auto"/>
            <w:bottom w:val="none" w:sz="0" w:space="0" w:color="auto"/>
            <w:right w:val="none" w:sz="0" w:space="0" w:color="auto"/>
          </w:divBdr>
        </w:div>
        <w:div w:id="164396673">
          <w:marLeft w:val="0"/>
          <w:marRight w:val="0"/>
          <w:marTop w:val="0"/>
          <w:marBottom w:val="0"/>
          <w:divBdr>
            <w:top w:val="none" w:sz="0" w:space="0" w:color="auto"/>
            <w:left w:val="none" w:sz="0" w:space="0" w:color="auto"/>
            <w:bottom w:val="none" w:sz="0" w:space="0" w:color="auto"/>
            <w:right w:val="none" w:sz="0" w:space="0" w:color="auto"/>
          </w:divBdr>
        </w:div>
        <w:div w:id="1745374750">
          <w:marLeft w:val="0"/>
          <w:marRight w:val="0"/>
          <w:marTop w:val="0"/>
          <w:marBottom w:val="0"/>
          <w:divBdr>
            <w:top w:val="none" w:sz="0" w:space="0" w:color="auto"/>
            <w:left w:val="none" w:sz="0" w:space="0" w:color="auto"/>
            <w:bottom w:val="none" w:sz="0" w:space="0" w:color="auto"/>
            <w:right w:val="none" w:sz="0" w:space="0" w:color="auto"/>
          </w:divBdr>
        </w:div>
        <w:div w:id="1620797230">
          <w:marLeft w:val="0"/>
          <w:marRight w:val="0"/>
          <w:marTop w:val="0"/>
          <w:marBottom w:val="0"/>
          <w:divBdr>
            <w:top w:val="none" w:sz="0" w:space="0" w:color="auto"/>
            <w:left w:val="none" w:sz="0" w:space="0" w:color="auto"/>
            <w:bottom w:val="none" w:sz="0" w:space="0" w:color="auto"/>
            <w:right w:val="none" w:sz="0" w:space="0" w:color="auto"/>
          </w:divBdr>
        </w:div>
        <w:div w:id="704645394">
          <w:marLeft w:val="0"/>
          <w:marRight w:val="0"/>
          <w:marTop w:val="0"/>
          <w:marBottom w:val="0"/>
          <w:divBdr>
            <w:top w:val="none" w:sz="0" w:space="0" w:color="auto"/>
            <w:left w:val="none" w:sz="0" w:space="0" w:color="auto"/>
            <w:bottom w:val="none" w:sz="0" w:space="0" w:color="auto"/>
            <w:right w:val="none" w:sz="0" w:space="0" w:color="auto"/>
          </w:divBdr>
        </w:div>
        <w:div w:id="850341398">
          <w:marLeft w:val="0"/>
          <w:marRight w:val="0"/>
          <w:marTop w:val="0"/>
          <w:marBottom w:val="0"/>
          <w:divBdr>
            <w:top w:val="none" w:sz="0" w:space="0" w:color="auto"/>
            <w:left w:val="none" w:sz="0" w:space="0" w:color="auto"/>
            <w:bottom w:val="none" w:sz="0" w:space="0" w:color="auto"/>
            <w:right w:val="none" w:sz="0" w:space="0" w:color="auto"/>
          </w:divBdr>
        </w:div>
        <w:div w:id="1900938898">
          <w:marLeft w:val="0"/>
          <w:marRight w:val="0"/>
          <w:marTop w:val="0"/>
          <w:marBottom w:val="0"/>
          <w:divBdr>
            <w:top w:val="none" w:sz="0" w:space="0" w:color="auto"/>
            <w:left w:val="none" w:sz="0" w:space="0" w:color="auto"/>
            <w:bottom w:val="none" w:sz="0" w:space="0" w:color="auto"/>
            <w:right w:val="none" w:sz="0" w:space="0" w:color="auto"/>
          </w:divBdr>
        </w:div>
        <w:div w:id="926381808">
          <w:marLeft w:val="0"/>
          <w:marRight w:val="0"/>
          <w:marTop w:val="0"/>
          <w:marBottom w:val="0"/>
          <w:divBdr>
            <w:top w:val="none" w:sz="0" w:space="0" w:color="auto"/>
            <w:left w:val="none" w:sz="0" w:space="0" w:color="auto"/>
            <w:bottom w:val="none" w:sz="0" w:space="0" w:color="auto"/>
            <w:right w:val="none" w:sz="0" w:space="0" w:color="auto"/>
          </w:divBdr>
        </w:div>
        <w:div w:id="1614432530">
          <w:marLeft w:val="0"/>
          <w:marRight w:val="0"/>
          <w:marTop w:val="0"/>
          <w:marBottom w:val="0"/>
          <w:divBdr>
            <w:top w:val="none" w:sz="0" w:space="0" w:color="auto"/>
            <w:left w:val="none" w:sz="0" w:space="0" w:color="auto"/>
            <w:bottom w:val="none" w:sz="0" w:space="0" w:color="auto"/>
            <w:right w:val="none" w:sz="0" w:space="0" w:color="auto"/>
          </w:divBdr>
        </w:div>
        <w:div w:id="1164200572">
          <w:marLeft w:val="0"/>
          <w:marRight w:val="0"/>
          <w:marTop w:val="0"/>
          <w:marBottom w:val="0"/>
          <w:divBdr>
            <w:top w:val="none" w:sz="0" w:space="0" w:color="auto"/>
            <w:left w:val="none" w:sz="0" w:space="0" w:color="auto"/>
            <w:bottom w:val="none" w:sz="0" w:space="0" w:color="auto"/>
            <w:right w:val="none" w:sz="0" w:space="0" w:color="auto"/>
          </w:divBdr>
        </w:div>
        <w:div w:id="1965041524">
          <w:marLeft w:val="0"/>
          <w:marRight w:val="0"/>
          <w:marTop w:val="0"/>
          <w:marBottom w:val="0"/>
          <w:divBdr>
            <w:top w:val="none" w:sz="0" w:space="0" w:color="auto"/>
            <w:left w:val="none" w:sz="0" w:space="0" w:color="auto"/>
            <w:bottom w:val="none" w:sz="0" w:space="0" w:color="auto"/>
            <w:right w:val="none" w:sz="0" w:space="0" w:color="auto"/>
          </w:divBdr>
        </w:div>
        <w:div w:id="1451045242">
          <w:marLeft w:val="0"/>
          <w:marRight w:val="0"/>
          <w:marTop w:val="0"/>
          <w:marBottom w:val="0"/>
          <w:divBdr>
            <w:top w:val="none" w:sz="0" w:space="0" w:color="auto"/>
            <w:left w:val="none" w:sz="0" w:space="0" w:color="auto"/>
            <w:bottom w:val="none" w:sz="0" w:space="0" w:color="auto"/>
            <w:right w:val="none" w:sz="0" w:space="0" w:color="auto"/>
          </w:divBdr>
        </w:div>
        <w:div w:id="1653754998">
          <w:marLeft w:val="0"/>
          <w:marRight w:val="0"/>
          <w:marTop w:val="0"/>
          <w:marBottom w:val="0"/>
          <w:divBdr>
            <w:top w:val="none" w:sz="0" w:space="0" w:color="auto"/>
            <w:left w:val="none" w:sz="0" w:space="0" w:color="auto"/>
            <w:bottom w:val="none" w:sz="0" w:space="0" w:color="auto"/>
            <w:right w:val="none" w:sz="0" w:space="0" w:color="auto"/>
          </w:divBdr>
        </w:div>
        <w:div w:id="477262116">
          <w:marLeft w:val="0"/>
          <w:marRight w:val="0"/>
          <w:marTop w:val="0"/>
          <w:marBottom w:val="0"/>
          <w:divBdr>
            <w:top w:val="none" w:sz="0" w:space="0" w:color="auto"/>
            <w:left w:val="none" w:sz="0" w:space="0" w:color="auto"/>
            <w:bottom w:val="none" w:sz="0" w:space="0" w:color="auto"/>
            <w:right w:val="none" w:sz="0" w:space="0" w:color="auto"/>
          </w:divBdr>
        </w:div>
        <w:div w:id="1018971668">
          <w:marLeft w:val="0"/>
          <w:marRight w:val="0"/>
          <w:marTop w:val="0"/>
          <w:marBottom w:val="0"/>
          <w:divBdr>
            <w:top w:val="none" w:sz="0" w:space="0" w:color="auto"/>
            <w:left w:val="none" w:sz="0" w:space="0" w:color="auto"/>
            <w:bottom w:val="none" w:sz="0" w:space="0" w:color="auto"/>
            <w:right w:val="none" w:sz="0" w:space="0" w:color="auto"/>
          </w:divBdr>
        </w:div>
        <w:div w:id="954672724">
          <w:marLeft w:val="0"/>
          <w:marRight w:val="0"/>
          <w:marTop w:val="0"/>
          <w:marBottom w:val="0"/>
          <w:divBdr>
            <w:top w:val="none" w:sz="0" w:space="0" w:color="auto"/>
            <w:left w:val="none" w:sz="0" w:space="0" w:color="auto"/>
            <w:bottom w:val="none" w:sz="0" w:space="0" w:color="auto"/>
            <w:right w:val="none" w:sz="0" w:space="0" w:color="auto"/>
          </w:divBdr>
        </w:div>
        <w:div w:id="968051109">
          <w:marLeft w:val="0"/>
          <w:marRight w:val="0"/>
          <w:marTop w:val="0"/>
          <w:marBottom w:val="0"/>
          <w:divBdr>
            <w:top w:val="none" w:sz="0" w:space="0" w:color="auto"/>
            <w:left w:val="none" w:sz="0" w:space="0" w:color="auto"/>
            <w:bottom w:val="none" w:sz="0" w:space="0" w:color="auto"/>
            <w:right w:val="none" w:sz="0" w:space="0" w:color="auto"/>
          </w:divBdr>
        </w:div>
        <w:div w:id="189732585">
          <w:marLeft w:val="0"/>
          <w:marRight w:val="0"/>
          <w:marTop w:val="0"/>
          <w:marBottom w:val="0"/>
          <w:divBdr>
            <w:top w:val="none" w:sz="0" w:space="0" w:color="auto"/>
            <w:left w:val="none" w:sz="0" w:space="0" w:color="auto"/>
            <w:bottom w:val="none" w:sz="0" w:space="0" w:color="auto"/>
            <w:right w:val="none" w:sz="0" w:space="0" w:color="auto"/>
          </w:divBdr>
        </w:div>
        <w:div w:id="2095197857">
          <w:marLeft w:val="0"/>
          <w:marRight w:val="0"/>
          <w:marTop w:val="0"/>
          <w:marBottom w:val="0"/>
          <w:divBdr>
            <w:top w:val="none" w:sz="0" w:space="0" w:color="auto"/>
            <w:left w:val="none" w:sz="0" w:space="0" w:color="auto"/>
            <w:bottom w:val="none" w:sz="0" w:space="0" w:color="auto"/>
            <w:right w:val="none" w:sz="0" w:space="0" w:color="auto"/>
          </w:divBdr>
        </w:div>
        <w:div w:id="2047749444">
          <w:marLeft w:val="0"/>
          <w:marRight w:val="0"/>
          <w:marTop w:val="0"/>
          <w:marBottom w:val="0"/>
          <w:divBdr>
            <w:top w:val="none" w:sz="0" w:space="0" w:color="auto"/>
            <w:left w:val="none" w:sz="0" w:space="0" w:color="auto"/>
            <w:bottom w:val="none" w:sz="0" w:space="0" w:color="auto"/>
            <w:right w:val="none" w:sz="0" w:space="0" w:color="auto"/>
          </w:divBdr>
        </w:div>
        <w:div w:id="272440617">
          <w:marLeft w:val="0"/>
          <w:marRight w:val="0"/>
          <w:marTop w:val="0"/>
          <w:marBottom w:val="0"/>
          <w:divBdr>
            <w:top w:val="none" w:sz="0" w:space="0" w:color="auto"/>
            <w:left w:val="none" w:sz="0" w:space="0" w:color="auto"/>
            <w:bottom w:val="none" w:sz="0" w:space="0" w:color="auto"/>
            <w:right w:val="none" w:sz="0" w:space="0" w:color="auto"/>
          </w:divBdr>
        </w:div>
        <w:div w:id="1520503630">
          <w:marLeft w:val="0"/>
          <w:marRight w:val="0"/>
          <w:marTop w:val="0"/>
          <w:marBottom w:val="0"/>
          <w:divBdr>
            <w:top w:val="none" w:sz="0" w:space="0" w:color="auto"/>
            <w:left w:val="none" w:sz="0" w:space="0" w:color="auto"/>
            <w:bottom w:val="none" w:sz="0" w:space="0" w:color="auto"/>
            <w:right w:val="none" w:sz="0" w:space="0" w:color="auto"/>
          </w:divBdr>
        </w:div>
        <w:div w:id="102261859">
          <w:marLeft w:val="0"/>
          <w:marRight w:val="0"/>
          <w:marTop w:val="0"/>
          <w:marBottom w:val="0"/>
          <w:divBdr>
            <w:top w:val="none" w:sz="0" w:space="0" w:color="auto"/>
            <w:left w:val="none" w:sz="0" w:space="0" w:color="auto"/>
            <w:bottom w:val="none" w:sz="0" w:space="0" w:color="auto"/>
            <w:right w:val="none" w:sz="0" w:space="0" w:color="auto"/>
          </w:divBdr>
        </w:div>
        <w:div w:id="1707900800">
          <w:marLeft w:val="0"/>
          <w:marRight w:val="0"/>
          <w:marTop w:val="0"/>
          <w:marBottom w:val="0"/>
          <w:divBdr>
            <w:top w:val="none" w:sz="0" w:space="0" w:color="auto"/>
            <w:left w:val="none" w:sz="0" w:space="0" w:color="auto"/>
            <w:bottom w:val="none" w:sz="0" w:space="0" w:color="auto"/>
            <w:right w:val="none" w:sz="0" w:space="0" w:color="auto"/>
          </w:divBdr>
        </w:div>
        <w:div w:id="1362896252">
          <w:marLeft w:val="0"/>
          <w:marRight w:val="0"/>
          <w:marTop w:val="0"/>
          <w:marBottom w:val="0"/>
          <w:divBdr>
            <w:top w:val="none" w:sz="0" w:space="0" w:color="auto"/>
            <w:left w:val="none" w:sz="0" w:space="0" w:color="auto"/>
            <w:bottom w:val="none" w:sz="0" w:space="0" w:color="auto"/>
            <w:right w:val="none" w:sz="0" w:space="0" w:color="auto"/>
          </w:divBdr>
        </w:div>
        <w:div w:id="66415941">
          <w:marLeft w:val="0"/>
          <w:marRight w:val="0"/>
          <w:marTop w:val="0"/>
          <w:marBottom w:val="0"/>
          <w:divBdr>
            <w:top w:val="none" w:sz="0" w:space="0" w:color="auto"/>
            <w:left w:val="none" w:sz="0" w:space="0" w:color="auto"/>
            <w:bottom w:val="none" w:sz="0" w:space="0" w:color="auto"/>
            <w:right w:val="none" w:sz="0" w:space="0" w:color="auto"/>
          </w:divBdr>
        </w:div>
        <w:div w:id="1540511905">
          <w:marLeft w:val="0"/>
          <w:marRight w:val="0"/>
          <w:marTop w:val="0"/>
          <w:marBottom w:val="0"/>
          <w:divBdr>
            <w:top w:val="none" w:sz="0" w:space="0" w:color="auto"/>
            <w:left w:val="none" w:sz="0" w:space="0" w:color="auto"/>
            <w:bottom w:val="none" w:sz="0" w:space="0" w:color="auto"/>
            <w:right w:val="none" w:sz="0" w:space="0" w:color="auto"/>
          </w:divBdr>
        </w:div>
        <w:div w:id="1833258375">
          <w:marLeft w:val="0"/>
          <w:marRight w:val="0"/>
          <w:marTop w:val="0"/>
          <w:marBottom w:val="0"/>
          <w:divBdr>
            <w:top w:val="none" w:sz="0" w:space="0" w:color="auto"/>
            <w:left w:val="none" w:sz="0" w:space="0" w:color="auto"/>
            <w:bottom w:val="none" w:sz="0" w:space="0" w:color="auto"/>
            <w:right w:val="none" w:sz="0" w:space="0" w:color="auto"/>
          </w:divBdr>
        </w:div>
        <w:div w:id="2033725325">
          <w:marLeft w:val="0"/>
          <w:marRight w:val="0"/>
          <w:marTop w:val="0"/>
          <w:marBottom w:val="0"/>
          <w:divBdr>
            <w:top w:val="none" w:sz="0" w:space="0" w:color="auto"/>
            <w:left w:val="none" w:sz="0" w:space="0" w:color="auto"/>
            <w:bottom w:val="none" w:sz="0" w:space="0" w:color="auto"/>
            <w:right w:val="none" w:sz="0" w:space="0" w:color="auto"/>
          </w:divBdr>
        </w:div>
        <w:div w:id="1395860057">
          <w:marLeft w:val="0"/>
          <w:marRight w:val="0"/>
          <w:marTop w:val="0"/>
          <w:marBottom w:val="0"/>
          <w:divBdr>
            <w:top w:val="none" w:sz="0" w:space="0" w:color="auto"/>
            <w:left w:val="none" w:sz="0" w:space="0" w:color="auto"/>
            <w:bottom w:val="none" w:sz="0" w:space="0" w:color="auto"/>
            <w:right w:val="none" w:sz="0" w:space="0" w:color="auto"/>
          </w:divBdr>
        </w:div>
        <w:div w:id="1304428980">
          <w:marLeft w:val="0"/>
          <w:marRight w:val="0"/>
          <w:marTop w:val="0"/>
          <w:marBottom w:val="0"/>
          <w:divBdr>
            <w:top w:val="none" w:sz="0" w:space="0" w:color="auto"/>
            <w:left w:val="none" w:sz="0" w:space="0" w:color="auto"/>
            <w:bottom w:val="none" w:sz="0" w:space="0" w:color="auto"/>
            <w:right w:val="none" w:sz="0" w:space="0" w:color="auto"/>
          </w:divBdr>
        </w:div>
        <w:div w:id="1443456151">
          <w:marLeft w:val="0"/>
          <w:marRight w:val="0"/>
          <w:marTop w:val="0"/>
          <w:marBottom w:val="0"/>
          <w:divBdr>
            <w:top w:val="none" w:sz="0" w:space="0" w:color="auto"/>
            <w:left w:val="none" w:sz="0" w:space="0" w:color="auto"/>
            <w:bottom w:val="none" w:sz="0" w:space="0" w:color="auto"/>
            <w:right w:val="none" w:sz="0" w:space="0" w:color="auto"/>
          </w:divBdr>
        </w:div>
        <w:div w:id="1667437812">
          <w:marLeft w:val="0"/>
          <w:marRight w:val="0"/>
          <w:marTop w:val="0"/>
          <w:marBottom w:val="0"/>
          <w:divBdr>
            <w:top w:val="none" w:sz="0" w:space="0" w:color="auto"/>
            <w:left w:val="none" w:sz="0" w:space="0" w:color="auto"/>
            <w:bottom w:val="none" w:sz="0" w:space="0" w:color="auto"/>
            <w:right w:val="none" w:sz="0" w:space="0" w:color="auto"/>
          </w:divBdr>
        </w:div>
        <w:div w:id="1080953629">
          <w:marLeft w:val="0"/>
          <w:marRight w:val="0"/>
          <w:marTop w:val="0"/>
          <w:marBottom w:val="0"/>
          <w:divBdr>
            <w:top w:val="none" w:sz="0" w:space="0" w:color="auto"/>
            <w:left w:val="none" w:sz="0" w:space="0" w:color="auto"/>
            <w:bottom w:val="none" w:sz="0" w:space="0" w:color="auto"/>
            <w:right w:val="none" w:sz="0" w:space="0" w:color="auto"/>
          </w:divBdr>
        </w:div>
        <w:div w:id="286349757">
          <w:marLeft w:val="0"/>
          <w:marRight w:val="0"/>
          <w:marTop w:val="0"/>
          <w:marBottom w:val="0"/>
          <w:divBdr>
            <w:top w:val="none" w:sz="0" w:space="0" w:color="auto"/>
            <w:left w:val="none" w:sz="0" w:space="0" w:color="auto"/>
            <w:bottom w:val="none" w:sz="0" w:space="0" w:color="auto"/>
            <w:right w:val="none" w:sz="0" w:space="0" w:color="auto"/>
          </w:divBdr>
        </w:div>
        <w:div w:id="1051491264">
          <w:marLeft w:val="0"/>
          <w:marRight w:val="0"/>
          <w:marTop w:val="0"/>
          <w:marBottom w:val="0"/>
          <w:divBdr>
            <w:top w:val="none" w:sz="0" w:space="0" w:color="auto"/>
            <w:left w:val="none" w:sz="0" w:space="0" w:color="auto"/>
            <w:bottom w:val="none" w:sz="0" w:space="0" w:color="auto"/>
            <w:right w:val="none" w:sz="0" w:space="0" w:color="auto"/>
          </w:divBdr>
        </w:div>
        <w:div w:id="1757091632">
          <w:marLeft w:val="0"/>
          <w:marRight w:val="0"/>
          <w:marTop w:val="0"/>
          <w:marBottom w:val="0"/>
          <w:divBdr>
            <w:top w:val="none" w:sz="0" w:space="0" w:color="auto"/>
            <w:left w:val="none" w:sz="0" w:space="0" w:color="auto"/>
            <w:bottom w:val="none" w:sz="0" w:space="0" w:color="auto"/>
            <w:right w:val="none" w:sz="0" w:space="0" w:color="auto"/>
          </w:divBdr>
        </w:div>
        <w:div w:id="1351375916">
          <w:marLeft w:val="0"/>
          <w:marRight w:val="0"/>
          <w:marTop w:val="0"/>
          <w:marBottom w:val="0"/>
          <w:divBdr>
            <w:top w:val="none" w:sz="0" w:space="0" w:color="auto"/>
            <w:left w:val="none" w:sz="0" w:space="0" w:color="auto"/>
            <w:bottom w:val="none" w:sz="0" w:space="0" w:color="auto"/>
            <w:right w:val="none" w:sz="0" w:space="0" w:color="auto"/>
          </w:divBdr>
        </w:div>
        <w:div w:id="837158463">
          <w:marLeft w:val="0"/>
          <w:marRight w:val="0"/>
          <w:marTop w:val="0"/>
          <w:marBottom w:val="0"/>
          <w:divBdr>
            <w:top w:val="none" w:sz="0" w:space="0" w:color="auto"/>
            <w:left w:val="none" w:sz="0" w:space="0" w:color="auto"/>
            <w:bottom w:val="none" w:sz="0" w:space="0" w:color="auto"/>
            <w:right w:val="none" w:sz="0" w:space="0" w:color="auto"/>
          </w:divBdr>
        </w:div>
        <w:div w:id="2138598363">
          <w:marLeft w:val="0"/>
          <w:marRight w:val="0"/>
          <w:marTop w:val="0"/>
          <w:marBottom w:val="0"/>
          <w:divBdr>
            <w:top w:val="none" w:sz="0" w:space="0" w:color="auto"/>
            <w:left w:val="none" w:sz="0" w:space="0" w:color="auto"/>
            <w:bottom w:val="none" w:sz="0" w:space="0" w:color="auto"/>
            <w:right w:val="none" w:sz="0" w:space="0" w:color="auto"/>
          </w:divBdr>
        </w:div>
        <w:div w:id="2001930441">
          <w:marLeft w:val="0"/>
          <w:marRight w:val="0"/>
          <w:marTop w:val="0"/>
          <w:marBottom w:val="0"/>
          <w:divBdr>
            <w:top w:val="none" w:sz="0" w:space="0" w:color="auto"/>
            <w:left w:val="none" w:sz="0" w:space="0" w:color="auto"/>
            <w:bottom w:val="none" w:sz="0" w:space="0" w:color="auto"/>
            <w:right w:val="none" w:sz="0" w:space="0" w:color="auto"/>
          </w:divBdr>
        </w:div>
        <w:div w:id="688334114">
          <w:marLeft w:val="0"/>
          <w:marRight w:val="0"/>
          <w:marTop w:val="0"/>
          <w:marBottom w:val="0"/>
          <w:divBdr>
            <w:top w:val="none" w:sz="0" w:space="0" w:color="auto"/>
            <w:left w:val="none" w:sz="0" w:space="0" w:color="auto"/>
            <w:bottom w:val="none" w:sz="0" w:space="0" w:color="auto"/>
            <w:right w:val="none" w:sz="0" w:space="0" w:color="auto"/>
          </w:divBdr>
        </w:div>
        <w:div w:id="651756364">
          <w:marLeft w:val="0"/>
          <w:marRight w:val="0"/>
          <w:marTop w:val="0"/>
          <w:marBottom w:val="0"/>
          <w:divBdr>
            <w:top w:val="none" w:sz="0" w:space="0" w:color="auto"/>
            <w:left w:val="none" w:sz="0" w:space="0" w:color="auto"/>
            <w:bottom w:val="none" w:sz="0" w:space="0" w:color="auto"/>
            <w:right w:val="none" w:sz="0" w:space="0" w:color="auto"/>
          </w:divBdr>
        </w:div>
        <w:div w:id="1667325294">
          <w:marLeft w:val="0"/>
          <w:marRight w:val="0"/>
          <w:marTop w:val="0"/>
          <w:marBottom w:val="0"/>
          <w:divBdr>
            <w:top w:val="none" w:sz="0" w:space="0" w:color="auto"/>
            <w:left w:val="none" w:sz="0" w:space="0" w:color="auto"/>
            <w:bottom w:val="none" w:sz="0" w:space="0" w:color="auto"/>
            <w:right w:val="none" w:sz="0" w:space="0" w:color="auto"/>
          </w:divBdr>
        </w:div>
        <w:div w:id="1147430451">
          <w:marLeft w:val="0"/>
          <w:marRight w:val="0"/>
          <w:marTop w:val="0"/>
          <w:marBottom w:val="0"/>
          <w:divBdr>
            <w:top w:val="none" w:sz="0" w:space="0" w:color="auto"/>
            <w:left w:val="none" w:sz="0" w:space="0" w:color="auto"/>
            <w:bottom w:val="none" w:sz="0" w:space="0" w:color="auto"/>
            <w:right w:val="none" w:sz="0" w:space="0" w:color="auto"/>
          </w:divBdr>
        </w:div>
        <w:div w:id="1173764424">
          <w:marLeft w:val="0"/>
          <w:marRight w:val="0"/>
          <w:marTop w:val="0"/>
          <w:marBottom w:val="0"/>
          <w:divBdr>
            <w:top w:val="none" w:sz="0" w:space="0" w:color="auto"/>
            <w:left w:val="none" w:sz="0" w:space="0" w:color="auto"/>
            <w:bottom w:val="none" w:sz="0" w:space="0" w:color="auto"/>
            <w:right w:val="none" w:sz="0" w:space="0" w:color="auto"/>
          </w:divBdr>
        </w:div>
        <w:div w:id="1322196993">
          <w:marLeft w:val="0"/>
          <w:marRight w:val="0"/>
          <w:marTop w:val="0"/>
          <w:marBottom w:val="0"/>
          <w:divBdr>
            <w:top w:val="none" w:sz="0" w:space="0" w:color="auto"/>
            <w:left w:val="none" w:sz="0" w:space="0" w:color="auto"/>
            <w:bottom w:val="none" w:sz="0" w:space="0" w:color="auto"/>
            <w:right w:val="none" w:sz="0" w:space="0" w:color="auto"/>
          </w:divBdr>
        </w:div>
        <w:div w:id="1988435864">
          <w:marLeft w:val="0"/>
          <w:marRight w:val="0"/>
          <w:marTop w:val="0"/>
          <w:marBottom w:val="0"/>
          <w:divBdr>
            <w:top w:val="none" w:sz="0" w:space="0" w:color="auto"/>
            <w:left w:val="none" w:sz="0" w:space="0" w:color="auto"/>
            <w:bottom w:val="none" w:sz="0" w:space="0" w:color="auto"/>
            <w:right w:val="none" w:sz="0" w:space="0" w:color="auto"/>
          </w:divBdr>
        </w:div>
        <w:div w:id="988048949">
          <w:marLeft w:val="0"/>
          <w:marRight w:val="0"/>
          <w:marTop w:val="0"/>
          <w:marBottom w:val="0"/>
          <w:divBdr>
            <w:top w:val="none" w:sz="0" w:space="0" w:color="auto"/>
            <w:left w:val="none" w:sz="0" w:space="0" w:color="auto"/>
            <w:bottom w:val="none" w:sz="0" w:space="0" w:color="auto"/>
            <w:right w:val="none" w:sz="0" w:space="0" w:color="auto"/>
          </w:divBdr>
        </w:div>
        <w:div w:id="446781754">
          <w:marLeft w:val="0"/>
          <w:marRight w:val="0"/>
          <w:marTop w:val="0"/>
          <w:marBottom w:val="0"/>
          <w:divBdr>
            <w:top w:val="none" w:sz="0" w:space="0" w:color="auto"/>
            <w:left w:val="none" w:sz="0" w:space="0" w:color="auto"/>
            <w:bottom w:val="none" w:sz="0" w:space="0" w:color="auto"/>
            <w:right w:val="none" w:sz="0" w:space="0" w:color="auto"/>
          </w:divBdr>
        </w:div>
        <w:div w:id="138693139">
          <w:marLeft w:val="0"/>
          <w:marRight w:val="0"/>
          <w:marTop w:val="0"/>
          <w:marBottom w:val="0"/>
          <w:divBdr>
            <w:top w:val="none" w:sz="0" w:space="0" w:color="auto"/>
            <w:left w:val="none" w:sz="0" w:space="0" w:color="auto"/>
            <w:bottom w:val="none" w:sz="0" w:space="0" w:color="auto"/>
            <w:right w:val="none" w:sz="0" w:space="0" w:color="auto"/>
          </w:divBdr>
        </w:div>
        <w:div w:id="233395408">
          <w:marLeft w:val="0"/>
          <w:marRight w:val="0"/>
          <w:marTop w:val="0"/>
          <w:marBottom w:val="0"/>
          <w:divBdr>
            <w:top w:val="none" w:sz="0" w:space="0" w:color="auto"/>
            <w:left w:val="none" w:sz="0" w:space="0" w:color="auto"/>
            <w:bottom w:val="none" w:sz="0" w:space="0" w:color="auto"/>
            <w:right w:val="none" w:sz="0" w:space="0" w:color="auto"/>
          </w:divBdr>
        </w:div>
        <w:div w:id="1536387235">
          <w:marLeft w:val="0"/>
          <w:marRight w:val="0"/>
          <w:marTop w:val="0"/>
          <w:marBottom w:val="0"/>
          <w:divBdr>
            <w:top w:val="none" w:sz="0" w:space="0" w:color="auto"/>
            <w:left w:val="none" w:sz="0" w:space="0" w:color="auto"/>
            <w:bottom w:val="none" w:sz="0" w:space="0" w:color="auto"/>
            <w:right w:val="none" w:sz="0" w:space="0" w:color="auto"/>
          </w:divBdr>
        </w:div>
        <w:div w:id="1772898721">
          <w:marLeft w:val="0"/>
          <w:marRight w:val="0"/>
          <w:marTop w:val="0"/>
          <w:marBottom w:val="0"/>
          <w:divBdr>
            <w:top w:val="none" w:sz="0" w:space="0" w:color="auto"/>
            <w:left w:val="none" w:sz="0" w:space="0" w:color="auto"/>
            <w:bottom w:val="none" w:sz="0" w:space="0" w:color="auto"/>
            <w:right w:val="none" w:sz="0" w:space="0" w:color="auto"/>
          </w:divBdr>
        </w:div>
        <w:div w:id="338970453">
          <w:marLeft w:val="0"/>
          <w:marRight w:val="0"/>
          <w:marTop w:val="0"/>
          <w:marBottom w:val="0"/>
          <w:divBdr>
            <w:top w:val="none" w:sz="0" w:space="0" w:color="auto"/>
            <w:left w:val="none" w:sz="0" w:space="0" w:color="auto"/>
            <w:bottom w:val="none" w:sz="0" w:space="0" w:color="auto"/>
            <w:right w:val="none" w:sz="0" w:space="0" w:color="auto"/>
          </w:divBdr>
        </w:div>
        <w:div w:id="1816482460">
          <w:marLeft w:val="0"/>
          <w:marRight w:val="0"/>
          <w:marTop w:val="0"/>
          <w:marBottom w:val="0"/>
          <w:divBdr>
            <w:top w:val="none" w:sz="0" w:space="0" w:color="auto"/>
            <w:left w:val="none" w:sz="0" w:space="0" w:color="auto"/>
            <w:bottom w:val="none" w:sz="0" w:space="0" w:color="auto"/>
            <w:right w:val="none" w:sz="0" w:space="0" w:color="auto"/>
          </w:divBdr>
        </w:div>
        <w:div w:id="1769546720">
          <w:marLeft w:val="0"/>
          <w:marRight w:val="0"/>
          <w:marTop w:val="0"/>
          <w:marBottom w:val="0"/>
          <w:divBdr>
            <w:top w:val="none" w:sz="0" w:space="0" w:color="auto"/>
            <w:left w:val="none" w:sz="0" w:space="0" w:color="auto"/>
            <w:bottom w:val="none" w:sz="0" w:space="0" w:color="auto"/>
            <w:right w:val="none" w:sz="0" w:space="0" w:color="auto"/>
          </w:divBdr>
        </w:div>
        <w:div w:id="1524591296">
          <w:marLeft w:val="0"/>
          <w:marRight w:val="0"/>
          <w:marTop w:val="0"/>
          <w:marBottom w:val="0"/>
          <w:divBdr>
            <w:top w:val="none" w:sz="0" w:space="0" w:color="auto"/>
            <w:left w:val="none" w:sz="0" w:space="0" w:color="auto"/>
            <w:bottom w:val="none" w:sz="0" w:space="0" w:color="auto"/>
            <w:right w:val="none" w:sz="0" w:space="0" w:color="auto"/>
          </w:divBdr>
        </w:div>
        <w:div w:id="125978199">
          <w:marLeft w:val="0"/>
          <w:marRight w:val="0"/>
          <w:marTop w:val="0"/>
          <w:marBottom w:val="0"/>
          <w:divBdr>
            <w:top w:val="none" w:sz="0" w:space="0" w:color="auto"/>
            <w:left w:val="none" w:sz="0" w:space="0" w:color="auto"/>
            <w:bottom w:val="none" w:sz="0" w:space="0" w:color="auto"/>
            <w:right w:val="none" w:sz="0" w:space="0" w:color="auto"/>
          </w:divBdr>
        </w:div>
        <w:div w:id="1645503991">
          <w:marLeft w:val="0"/>
          <w:marRight w:val="0"/>
          <w:marTop w:val="0"/>
          <w:marBottom w:val="0"/>
          <w:divBdr>
            <w:top w:val="none" w:sz="0" w:space="0" w:color="auto"/>
            <w:left w:val="none" w:sz="0" w:space="0" w:color="auto"/>
            <w:bottom w:val="none" w:sz="0" w:space="0" w:color="auto"/>
            <w:right w:val="none" w:sz="0" w:space="0" w:color="auto"/>
          </w:divBdr>
        </w:div>
        <w:div w:id="1392535590">
          <w:marLeft w:val="0"/>
          <w:marRight w:val="0"/>
          <w:marTop w:val="0"/>
          <w:marBottom w:val="0"/>
          <w:divBdr>
            <w:top w:val="none" w:sz="0" w:space="0" w:color="auto"/>
            <w:left w:val="none" w:sz="0" w:space="0" w:color="auto"/>
            <w:bottom w:val="none" w:sz="0" w:space="0" w:color="auto"/>
            <w:right w:val="none" w:sz="0" w:space="0" w:color="auto"/>
          </w:divBdr>
        </w:div>
        <w:div w:id="216354762">
          <w:marLeft w:val="0"/>
          <w:marRight w:val="0"/>
          <w:marTop w:val="0"/>
          <w:marBottom w:val="0"/>
          <w:divBdr>
            <w:top w:val="none" w:sz="0" w:space="0" w:color="auto"/>
            <w:left w:val="none" w:sz="0" w:space="0" w:color="auto"/>
            <w:bottom w:val="none" w:sz="0" w:space="0" w:color="auto"/>
            <w:right w:val="none" w:sz="0" w:space="0" w:color="auto"/>
          </w:divBdr>
        </w:div>
        <w:div w:id="1940789644">
          <w:marLeft w:val="0"/>
          <w:marRight w:val="0"/>
          <w:marTop w:val="0"/>
          <w:marBottom w:val="0"/>
          <w:divBdr>
            <w:top w:val="none" w:sz="0" w:space="0" w:color="auto"/>
            <w:left w:val="none" w:sz="0" w:space="0" w:color="auto"/>
            <w:bottom w:val="none" w:sz="0" w:space="0" w:color="auto"/>
            <w:right w:val="none" w:sz="0" w:space="0" w:color="auto"/>
          </w:divBdr>
        </w:div>
        <w:div w:id="1797260209">
          <w:marLeft w:val="0"/>
          <w:marRight w:val="0"/>
          <w:marTop w:val="0"/>
          <w:marBottom w:val="0"/>
          <w:divBdr>
            <w:top w:val="none" w:sz="0" w:space="0" w:color="auto"/>
            <w:left w:val="none" w:sz="0" w:space="0" w:color="auto"/>
            <w:bottom w:val="none" w:sz="0" w:space="0" w:color="auto"/>
            <w:right w:val="none" w:sz="0" w:space="0" w:color="auto"/>
          </w:divBdr>
        </w:div>
        <w:div w:id="619805972">
          <w:marLeft w:val="0"/>
          <w:marRight w:val="0"/>
          <w:marTop w:val="0"/>
          <w:marBottom w:val="0"/>
          <w:divBdr>
            <w:top w:val="none" w:sz="0" w:space="0" w:color="auto"/>
            <w:left w:val="none" w:sz="0" w:space="0" w:color="auto"/>
            <w:bottom w:val="none" w:sz="0" w:space="0" w:color="auto"/>
            <w:right w:val="none" w:sz="0" w:space="0" w:color="auto"/>
          </w:divBdr>
        </w:div>
        <w:div w:id="443765788">
          <w:marLeft w:val="0"/>
          <w:marRight w:val="0"/>
          <w:marTop w:val="0"/>
          <w:marBottom w:val="0"/>
          <w:divBdr>
            <w:top w:val="none" w:sz="0" w:space="0" w:color="auto"/>
            <w:left w:val="none" w:sz="0" w:space="0" w:color="auto"/>
            <w:bottom w:val="none" w:sz="0" w:space="0" w:color="auto"/>
            <w:right w:val="none" w:sz="0" w:space="0" w:color="auto"/>
          </w:divBdr>
        </w:div>
        <w:div w:id="309602276">
          <w:marLeft w:val="0"/>
          <w:marRight w:val="0"/>
          <w:marTop w:val="0"/>
          <w:marBottom w:val="0"/>
          <w:divBdr>
            <w:top w:val="none" w:sz="0" w:space="0" w:color="auto"/>
            <w:left w:val="none" w:sz="0" w:space="0" w:color="auto"/>
            <w:bottom w:val="none" w:sz="0" w:space="0" w:color="auto"/>
            <w:right w:val="none" w:sz="0" w:space="0" w:color="auto"/>
          </w:divBdr>
        </w:div>
        <w:div w:id="586618859">
          <w:marLeft w:val="0"/>
          <w:marRight w:val="0"/>
          <w:marTop w:val="0"/>
          <w:marBottom w:val="0"/>
          <w:divBdr>
            <w:top w:val="none" w:sz="0" w:space="0" w:color="auto"/>
            <w:left w:val="none" w:sz="0" w:space="0" w:color="auto"/>
            <w:bottom w:val="none" w:sz="0" w:space="0" w:color="auto"/>
            <w:right w:val="none" w:sz="0" w:space="0" w:color="auto"/>
          </w:divBdr>
        </w:div>
        <w:div w:id="190077307">
          <w:marLeft w:val="0"/>
          <w:marRight w:val="0"/>
          <w:marTop w:val="0"/>
          <w:marBottom w:val="0"/>
          <w:divBdr>
            <w:top w:val="none" w:sz="0" w:space="0" w:color="auto"/>
            <w:left w:val="none" w:sz="0" w:space="0" w:color="auto"/>
            <w:bottom w:val="none" w:sz="0" w:space="0" w:color="auto"/>
            <w:right w:val="none" w:sz="0" w:space="0" w:color="auto"/>
          </w:divBdr>
        </w:div>
        <w:div w:id="558052045">
          <w:marLeft w:val="0"/>
          <w:marRight w:val="0"/>
          <w:marTop w:val="0"/>
          <w:marBottom w:val="0"/>
          <w:divBdr>
            <w:top w:val="none" w:sz="0" w:space="0" w:color="auto"/>
            <w:left w:val="none" w:sz="0" w:space="0" w:color="auto"/>
            <w:bottom w:val="none" w:sz="0" w:space="0" w:color="auto"/>
            <w:right w:val="none" w:sz="0" w:space="0" w:color="auto"/>
          </w:divBdr>
        </w:div>
        <w:div w:id="818959844">
          <w:marLeft w:val="0"/>
          <w:marRight w:val="0"/>
          <w:marTop w:val="0"/>
          <w:marBottom w:val="0"/>
          <w:divBdr>
            <w:top w:val="none" w:sz="0" w:space="0" w:color="auto"/>
            <w:left w:val="none" w:sz="0" w:space="0" w:color="auto"/>
            <w:bottom w:val="none" w:sz="0" w:space="0" w:color="auto"/>
            <w:right w:val="none" w:sz="0" w:space="0" w:color="auto"/>
          </w:divBdr>
        </w:div>
        <w:div w:id="430130354">
          <w:marLeft w:val="0"/>
          <w:marRight w:val="0"/>
          <w:marTop w:val="0"/>
          <w:marBottom w:val="0"/>
          <w:divBdr>
            <w:top w:val="none" w:sz="0" w:space="0" w:color="auto"/>
            <w:left w:val="none" w:sz="0" w:space="0" w:color="auto"/>
            <w:bottom w:val="none" w:sz="0" w:space="0" w:color="auto"/>
            <w:right w:val="none" w:sz="0" w:space="0" w:color="auto"/>
          </w:divBdr>
        </w:div>
        <w:div w:id="353699337">
          <w:marLeft w:val="0"/>
          <w:marRight w:val="0"/>
          <w:marTop w:val="0"/>
          <w:marBottom w:val="0"/>
          <w:divBdr>
            <w:top w:val="none" w:sz="0" w:space="0" w:color="auto"/>
            <w:left w:val="none" w:sz="0" w:space="0" w:color="auto"/>
            <w:bottom w:val="none" w:sz="0" w:space="0" w:color="auto"/>
            <w:right w:val="none" w:sz="0" w:space="0" w:color="auto"/>
          </w:divBdr>
        </w:div>
        <w:div w:id="1873876904">
          <w:marLeft w:val="0"/>
          <w:marRight w:val="0"/>
          <w:marTop w:val="0"/>
          <w:marBottom w:val="0"/>
          <w:divBdr>
            <w:top w:val="none" w:sz="0" w:space="0" w:color="auto"/>
            <w:left w:val="none" w:sz="0" w:space="0" w:color="auto"/>
            <w:bottom w:val="none" w:sz="0" w:space="0" w:color="auto"/>
            <w:right w:val="none" w:sz="0" w:space="0" w:color="auto"/>
          </w:divBdr>
        </w:div>
        <w:div w:id="602493077">
          <w:marLeft w:val="0"/>
          <w:marRight w:val="0"/>
          <w:marTop w:val="0"/>
          <w:marBottom w:val="0"/>
          <w:divBdr>
            <w:top w:val="none" w:sz="0" w:space="0" w:color="auto"/>
            <w:left w:val="none" w:sz="0" w:space="0" w:color="auto"/>
            <w:bottom w:val="none" w:sz="0" w:space="0" w:color="auto"/>
            <w:right w:val="none" w:sz="0" w:space="0" w:color="auto"/>
          </w:divBdr>
        </w:div>
        <w:div w:id="1226719335">
          <w:marLeft w:val="0"/>
          <w:marRight w:val="0"/>
          <w:marTop w:val="0"/>
          <w:marBottom w:val="0"/>
          <w:divBdr>
            <w:top w:val="none" w:sz="0" w:space="0" w:color="auto"/>
            <w:left w:val="none" w:sz="0" w:space="0" w:color="auto"/>
            <w:bottom w:val="none" w:sz="0" w:space="0" w:color="auto"/>
            <w:right w:val="none" w:sz="0" w:space="0" w:color="auto"/>
          </w:divBdr>
        </w:div>
        <w:div w:id="1979525650">
          <w:marLeft w:val="0"/>
          <w:marRight w:val="0"/>
          <w:marTop w:val="0"/>
          <w:marBottom w:val="0"/>
          <w:divBdr>
            <w:top w:val="none" w:sz="0" w:space="0" w:color="auto"/>
            <w:left w:val="none" w:sz="0" w:space="0" w:color="auto"/>
            <w:bottom w:val="none" w:sz="0" w:space="0" w:color="auto"/>
            <w:right w:val="none" w:sz="0" w:space="0" w:color="auto"/>
          </w:divBdr>
        </w:div>
        <w:div w:id="424692359">
          <w:marLeft w:val="0"/>
          <w:marRight w:val="0"/>
          <w:marTop w:val="0"/>
          <w:marBottom w:val="0"/>
          <w:divBdr>
            <w:top w:val="none" w:sz="0" w:space="0" w:color="auto"/>
            <w:left w:val="none" w:sz="0" w:space="0" w:color="auto"/>
            <w:bottom w:val="none" w:sz="0" w:space="0" w:color="auto"/>
            <w:right w:val="none" w:sz="0" w:space="0" w:color="auto"/>
          </w:divBdr>
        </w:div>
        <w:div w:id="1590314445">
          <w:marLeft w:val="0"/>
          <w:marRight w:val="0"/>
          <w:marTop w:val="0"/>
          <w:marBottom w:val="0"/>
          <w:divBdr>
            <w:top w:val="none" w:sz="0" w:space="0" w:color="auto"/>
            <w:left w:val="none" w:sz="0" w:space="0" w:color="auto"/>
            <w:bottom w:val="none" w:sz="0" w:space="0" w:color="auto"/>
            <w:right w:val="none" w:sz="0" w:space="0" w:color="auto"/>
          </w:divBdr>
        </w:div>
        <w:div w:id="1404256713">
          <w:marLeft w:val="0"/>
          <w:marRight w:val="0"/>
          <w:marTop w:val="0"/>
          <w:marBottom w:val="0"/>
          <w:divBdr>
            <w:top w:val="none" w:sz="0" w:space="0" w:color="auto"/>
            <w:left w:val="none" w:sz="0" w:space="0" w:color="auto"/>
            <w:bottom w:val="none" w:sz="0" w:space="0" w:color="auto"/>
            <w:right w:val="none" w:sz="0" w:space="0" w:color="auto"/>
          </w:divBdr>
        </w:div>
        <w:div w:id="436946784">
          <w:marLeft w:val="0"/>
          <w:marRight w:val="0"/>
          <w:marTop w:val="0"/>
          <w:marBottom w:val="0"/>
          <w:divBdr>
            <w:top w:val="none" w:sz="0" w:space="0" w:color="auto"/>
            <w:left w:val="none" w:sz="0" w:space="0" w:color="auto"/>
            <w:bottom w:val="none" w:sz="0" w:space="0" w:color="auto"/>
            <w:right w:val="none" w:sz="0" w:space="0" w:color="auto"/>
          </w:divBdr>
        </w:div>
        <w:div w:id="2022276082">
          <w:marLeft w:val="0"/>
          <w:marRight w:val="0"/>
          <w:marTop w:val="0"/>
          <w:marBottom w:val="0"/>
          <w:divBdr>
            <w:top w:val="none" w:sz="0" w:space="0" w:color="auto"/>
            <w:left w:val="none" w:sz="0" w:space="0" w:color="auto"/>
            <w:bottom w:val="none" w:sz="0" w:space="0" w:color="auto"/>
            <w:right w:val="none" w:sz="0" w:space="0" w:color="auto"/>
          </w:divBdr>
        </w:div>
        <w:div w:id="253057383">
          <w:marLeft w:val="0"/>
          <w:marRight w:val="0"/>
          <w:marTop w:val="0"/>
          <w:marBottom w:val="0"/>
          <w:divBdr>
            <w:top w:val="none" w:sz="0" w:space="0" w:color="auto"/>
            <w:left w:val="none" w:sz="0" w:space="0" w:color="auto"/>
            <w:bottom w:val="none" w:sz="0" w:space="0" w:color="auto"/>
            <w:right w:val="none" w:sz="0" w:space="0" w:color="auto"/>
          </w:divBdr>
        </w:div>
        <w:div w:id="1989436386">
          <w:marLeft w:val="0"/>
          <w:marRight w:val="0"/>
          <w:marTop w:val="0"/>
          <w:marBottom w:val="0"/>
          <w:divBdr>
            <w:top w:val="none" w:sz="0" w:space="0" w:color="auto"/>
            <w:left w:val="none" w:sz="0" w:space="0" w:color="auto"/>
            <w:bottom w:val="none" w:sz="0" w:space="0" w:color="auto"/>
            <w:right w:val="none" w:sz="0" w:space="0" w:color="auto"/>
          </w:divBdr>
        </w:div>
        <w:div w:id="636422622">
          <w:marLeft w:val="0"/>
          <w:marRight w:val="0"/>
          <w:marTop w:val="0"/>
          <w:marBottom w:val="0"/>
          <w:divBdr>
            <w:top w:val="none" w:sz="0" w:space="0" w:color="auto"/>
            <w:left w:val="none" w:sz="0" w:space="0" w:color="auto"/>
            <w:bottom w:val="none" w:sz="0" w:space="0" w:color="auto"/>
            <w:right w:val="none" w:sz="0" w:space="0" w:color="auto"/>
          </w:divBdr>
        </w:div>
        <w:div w:id="1046368048">
          <w:marLeft w:val="0"/>
          <w:marRight w:val="0"/>
          <w:marTop w:val="0"/>
          <w:marBottom w:val="0"/>
          <w:divBdr>
            <w:top w:val="none" w:sz="0" w:space="0" w:color="auto"/>
            <w:left w:val="none" w:sz="0" w:space="0" w:color="auto"/>
            <w:bottom w:val="none" w:sz="0" w:space="0" w:color="auto"/>
            <w:right w:val="none" w:sz="0" w:space="0" w:color="auto"/>
          </w:divBdr>
        </w:div>
        <w:div w:id="1715346789">
          <w:marLeft w:val="0"/>
          <w:marRight w:val="0"/>
          <w:marTop w:val="0"/>
          <w:marBottom w:val="0"/>
          <w:divBdr>
            <w:top w:val="none" w:sz="0" w:space="0" w:color="auto"/>
            <w:left w:val="none" w:sz="0" w:space="0" w:color="auto"/>
            <w:bottom w:val="none" w:sz="0" w:space="0" w:color="auto"/>
            <w:right w:val="none" w:sz="0" w:space="0" w:color="auto"/>
          </w:divBdr>
        </w:div>
        <w:div w:id="717778283">
          <w:marLeft w:val="0"/>
          <w:marRight w:val="0"/>
          <w:marTop w:val="0"/>
          <w:marBottom w:val="0"/>
          <w:divBdr>
            <w:top w:val="none" w:sz="0" w:space="0" w:color="auto"/>
            <w:left w:val="none" w:sz="0" w:space="0" w:color="auto"/>
            <w:bottom w:val="none" w:sz="0" w:space="0" w:color="auto"/>
            <w:right w:val="none" w:sz="0" w:space="0" w:color="auto"/>
          </w:divBdr>
        </w:div>
        <w:div w:id="1655643317">
          <w:marLeft w:val="0"/>
          <w:marRight w:val="0"/>
          <w:marTop w:val="0"/>
          <w:marBottom w:val="0"/>
          <w:divBdr>
            <w:top w:val="none" w:sz="0" w:space="0" w:color="auto"/>
            <w:left w:val="none" w:sz="0" w:space="0" w:color="auto"/>
            <w:bottom w:val="none" w:sz="0" w:space="0" w:color="auto"/>
            <w:right w:val="none" w:sz="0" w:space="0" w:color="auto"/>
          </w:divBdr>
        </w:div>
        <w:div w:id="1044212161">
          <w:marLeft w:val="0"/>
          <w:marRight w:val="0"/>
          <w:marTop w:val="0"/>
          <w:marBottom w:val="0"/>
          <w:divBdr>
            <w:top w:val="none" w:sz="0" w:space="0" w:color="auto"/>
            <w:left w:val="none" w:sz="0" w:space="0" w:color="auto"/>
            <w:bottom w:val="none" w:sz="0" w:space="0" w:color="auto"/>
            <w:right w:val="none" w:sz="0" w:space="0" w:color="auto"/>
          </w:divBdr>
        </w:div>
        <w:div w:id="1872838740">
          <w:marLeft w:val="0"/>
          <w:marRight w:val="0"/>
          <w:marTop w:val="0"/>
          <w:marBottom w:val="0"/>
          <w:divBdr>
            <w:top w:val="none" w:sz="0" w:space="0" w:color="auto"/>
            <w:left w:val="none" w:sz="0" w:space="0" w:color="auto"/>
            <w:bottom w:val="none" w:sz="0" w:space="0" w:color="auto"/>
            <w:right w:val="none" w:sz="0" w:space="0" w:color="auto"/>
          </w:divBdr>
        </w:div>
        <w:div w:id="371730226">
          <w:marLeft w:val="0"/>
          <w:marRight w:val="0"/>
          <w:marTop w:val="0"/>
          <w:marBottom w:val="0"/>
          <w:divBdr>
            <w:top w:val="none" w:sz="0" w:space="0" w:color="auto"/>
            <w:left w:val="none" w:sz="0" w:space="0" w:color="auto"/>
            <w:bottom w:val="none" w:sz="0" w:space="0" w:color="auto"/>
            <w:right w:val="none" w:sz="0" w:space="0" w:color="auto"/>
          </w:divBdr>
        </w:div>
        <w:div w:id="662927355">
          <w:marLeft w:val="0"/>
          <w:marRight w:val="0"/>
          <w:marTop w:val="0"/>
          <w:marBottom w:val="0"/>
          <w:divBdr>
            <w:top w:val="none" w:sz="0" w:space="0" w:color="auto"/>
            <w:left w:val="none" w:sz="0" w:space="0" w:color="auto"/>
            <w:bottom w:val="none" w:sz="0" w:space="0" w:color="auto"/>
            <w:right w:val="none" w:sz="0" w:space="0" w:color="auto"/>
          </w:divBdr>
        </w:div>
        <w:div w:id="454644926">
          <w:marLeft w:val="0"/>
          <w:marRight w:val="0"/>
          <w:marTop w:val="0"/>
          <w:marBottom w:val="0"/>
          <w:divBdr>
            <w:top w:val="none" w:sz="0" w:space="0" w:color="auto"/>
            <w:left w:val="none" w:sz="0" w:space="0" w:color="auto"/>
            <w:bottom w:val="none" w:sz="0" w:space="0" w:color="auto"/>
            <w:right w:val="none" w:sz="0" w:space="0" w:color="auto"/>
          </w:divBdr>
        </w:div>
        <w:div w:id="343439229">
          <w:marLeft w:val="0"/>
          <w:marRight w:val="0"/>
          <w:marTop w:val="0"/>
          <w:marBottom w:val="0"/>
          <w:divBdr>
            <w:top w:val="none" w:sz="0" w:space="0" w:color="auto"/>
            <w:left w:val="none" w:sz="0" w:space="0" w:color="auto"/>
            <w:bottom w:val="none" w:sz="0" w:space="0" w:color="auto"/>
            <w:right w:val="none" w:sz="0" w:space="0" w:color="auto"/>
          </w:divBdr>
        </w:div>
        <w:div w:id="1745564276">
          <w:marLeft w:val="0"/>
          <w:marRight w:val="0"/>
          <w:marTop w:val="0"/>
          <w:marBottom w:val="0"/>
          <w:divBdr>
            <w:top w:val="none" w:sz="0" w:space="0" w:color="auto"/>
            <w:left w:val="none" w:sz="0" w:space="0" w:color="auto"/>
            <w:bottom w:val="none" w:sz="0" w:space="0" w:color="auto"/>
            <w:right w:val="none" w:sz="0" w:space="0" w:color="auto"/>
          </w:divBdr>
        </w:div>
        <w:div w:id="1127312720">
          <w:marLeft w:val="0"/>
          <w:marRight w:val="0"/>
          <w:marTop w:val="0"/>
          <w:marBottom w:val="0"/>
          <w:divBdr>
            <w:top w:val="none" w:sz="0" w:space="0" w:color="auto"/>
            <w:left w:val="none" w:sz="0" w:space="0" w:color="auto"/>
            <w:bottom w:val="none" w:sz="0" w:space="0" w:color="auto"/>
            <w:right w:val="none" w:sz="0" w:space="0" w:color="auto"/>
          </w:divBdr>
        </w:div>
        <w:div w:id="1263802910">
          <w:marLeft w:val="0"/>
          <w:marRight w:val="0"/>
          <w:marTop w:val="0"/>
          <w:marBottom w:val="0"/>
          <w:divBdr>
            <w:top w:val="none" w:sz="0" w:space="0" w:color="auto"/>
            <w:left w:val="none" w:sz="0" w:space="0" w:color="auto"/>
            <w:bottom w:val="none" w:sz="0" w:space="0" w:color="auto"/>
            <w:right w:val="none" w:sz="0" w:space="0" w:color="auto"/>
          </w:divBdr>
        </w:div>
        <w:div w:id="1544514993">
          <w:marLeft w:val="0"/>
          <w:marRight w:val="0"/>
          <w:marTop w:val="0"/>
          <w:marBottom w:val="0"/>
          <w:divBdr>
            <w:top w:val="none" w:sz="0" w:space="0" w:color="auto"/>
            <w:left w:val="none" w:sz="0" w:space="0" w:color="auto"/>
            <w:bottom w:val="none" w:sz="0" w:space="0" w:color="auto"/>
            <w:right w:val="none" w:sz="0" w:space="0" w:color="auto"/>
          </w:divBdr>
        </w:div>
        <w:div w:id="413473846">
          <w:marLeft w:val="0"/>
          <w:marRight w:val="0"/>
          <w:marTop w:val="0"/>
          <w:marBottom w:val="0"/>
          <w:divBdr>
            <w:top w:val="none" w:sz="0" w:space="0" w:color="auto"/>
            <w:left w:val="none" w:sz="0" w:space="0" w:color="auto"/>
            <w:bottom w:val="none" w:sz="0" w:space="0" w:color="auto"/>
            <w:right w:val="none" w:sz="0" w:space="0" w:color="auto"/>
          </w:divBdr>
        </w:div>
        <w:div w:id="463931036">
          <w:marLeft w:val="0"/>
          <w:marRight w:val="0"/>
          <w:marTop w:val="0"/>
          <w:marBottom w:val="0"/>
          <w:divBdr>
            <w:top w:val="none" w:sz="0" w:space="0" w:color="auto"/>
            <w:left w:val="none" w:sz="0" w:space="0" w:color="auto"/>
            <w:bottom w:val="none" w:sz="0" w:space="0" w:color="auto"/>
            <w:right w:val="none" w:sz="0" w:space="0" w:color="auto"/>
          </w:divBdr>
        </w:div>
        <w:div w:id="936056709">
          <w:marLeft w:val="0"/>
          <w:marRight w:val="0"/>
          <w:marTop w:val="0"/>
          <w:marBottom w:val="0"/>
          <w:divBdr>
            <w:top w:val="none" w:sz="0" w:space="0" w:color="auto"/>
            <w:left w:val="none" w:sz="0" w:space="0" w:color="auto"/>
            <w:bottom w:val="none" w:sz="0" w:space="0" w:color="auto"/>
            <w:right w:val="none" w:sz="0" w:space="0" w:color="auto"/>
          </w:divBdr>
        </w:div>
        <w:div w:id="736821378">
          <w:marLeft w:val="0"/>
          <w:marRight w:val="0"/>
          <w:marTop w:val="0"/>
          <w:marBottom w:val="0"/>
          <w:divBdr>
            <w:top w:val="none" w:sz="0" w:space="0" w:color="auto"/>
            <w:left w:val="none" w:sz="0" w:space="0" w:color="auto"/>
            <w:bottom w:val="none" w:sz="0" w:space="0" w:color="auto"/>
            <w:right w:val="none" w:sz="0" w:space="0" w:color="auto"/>
          </w:divBdr>
        </w:div>
        <w:div w:id="2134053569">
          <w:marLeft w:val="0"/>
          <w:marRight w:val="0"/>
          <w:marTop w:val="0"/>
          <w:marBottom w:val="0"/>
          <w:divBdr>
            <w:top w:val="none" w:sz="0" w:space="0" w:color="auto"/>
            <w:left w:val="none" w:sz="0" w:space="0" w:color="auto"/>
            <w:bottom w:val="none" w:sz="0" w:space="0" w:color="auto"/>
            <w:right w:val="none" w:sz="0" w:space="0" w:color="auto"/>
          </w:divBdr>
        </w:div>
        <w:div w:id="1722747133">
          <w:marLeft w:val="0"/>
          <w:marRight w:val="0"/>
          <w:marTop w:val="0"/>
          <w:marBottom w:val="0"/>
          <w:divBdr>
            <w:top w:val="none" w:sz="0" w:space="0" w:color="auto"/>
            <w:left w:val="none" w:sz="0" w:space="0" w:color="auto"/>
            <w:bottom w:val="none" w:sz="0" w:space="0" w:color="auto"/>
            <w:right w:val="none" w:sz="0" w:space="0" w:color="auto"/>
          </w:divBdr>
        </w:div>
        <w:div w:id="1742634233">
          <w:marLeft w:val="0"/>
          <w:marRight w:val="0"/>
          <w:marTop w:val="0"/>
          <w:marBottom w:val="0"/>
          <w:divBdr>
            <w:top w:val="none" w:sz="0" w:space="0" w:color="auto"/>
            <w:left w:val="none" w:sz="0" w:space="0" w:color="auto"/>
            <w:bottom w:val="none" w:sz="0" w:space="0" w:color="auto"/>
            <w:right w:val="none" w:sz="0" w:space="0" w:color="auto"/>
          </w:divBdr>
        </w:div>
        <w:div w:id="63914509">
          <w:marLeft w:val="0"/>
          <w:marRight w:val="0"/>
          <w:marTop w:val="0"/>
          <w:marBottom w:val="0"/>
          <w:divBdr>
            <w:top w:val="none" w:sz="0" w:space="0" w:color="auto"/>
            <w:left w:val="none" w:sz="0" w:space="0" w:color="auto"/>
            <w:bottom w:val="none" w:sz="0" w:space="0" w:color="auto"/>
            <w:right w:val="none" w:sz="0" w:space="0" w:color="auto"/>
          </w:divBdr>
        </w:div>
        <w:div w:id="304622457">
          <w:marLeft w:val="0"/>
          <w:marRight w:val="0"/>
          <w:marTop w:val="0"/>
          <w:marBottom w:val="0"/>
          <w:divBdr>
            <w:top w:val="none" w:sz="0" w:space="0" w:color="auto"/>
            <w:left w:val="none" w:sz="0" w:space="0" w:color="auto"/>
            <w:bottom w:val="none" w:sz="0" w:space="0" w:color="auto"/>
            <w:right w:val="none" w:sz="0" w:space="0" w:color="auto"/>
          </w:divBdr>
        </w:div>
        <w:div w:id="50623015">
          <w:marLeft w:val="0"/>
          <w:marRight w:val="0"/>
          <w:marTop w:val="0"/>
          <w:marBottom w:val="0"/>
          <w:divBdr>
            <w:top w:val="none" w:sz="0" w:space="0" w:color="auto"/>
            <w:left w:val="none" w:sz="0" w:space="0" w:color="auto"/>
            <w:bottom w:val="none" w:sz="0" w:space="0" w:color="auto"/>
            <w:right w:val="none" w:sz="0" w:space="0" w:color="auto"/>
          </w:divBdr>
        </w:div>
        <w:div w:id="513497256">
          <w:marLeft w:val="0"/>
          <w:marRight w:val="0"/>
          <w:marTop w:val="0"/>
          <w:marBottom w:val="0"/>
          <w:divBdr>
            <w:top w:val="none" w:sz="0" w:space="0" w:color="auto"/>
            <w:left w:val="none" w:sz="0" w:space="0" w:color="auto"/>
            <w:bottom w:val="none" w:sz="0" w:space="0" w:color="auto"/>
            <w:right w:val="none" w:sz="0" w:space="0" w:color="auto"/>
          </w:divBdr>
        </w:div>
        <w:div w:id="1752581140">
          <w:marLeft w:val="0"/>
          <w:marRight w:val="0"/>
          <w:marTop w:val="0"/>
          <w:marBottom w:val="0"/>
          <w:divBdr>
            <w:top w:val="none" w:sz="0" w:space="0" w:color="auto"/>
            <w:left w:val="none" w:sz="0" w:space="0" w:color="auto"/>
            <w:bottom w:val="none" w:sz="0" w:space="0" w:color="auto"/>
            <w:right w:val="none" w:sz="0" w:space="0" w:color="auto"/>
          </w:divBdr>
        </w:div>
        <w:div w:id="2019306632">
          <w:marLeft w:val="0"/>
          <w:marRight w:val="0"/>
          <w:marTop w:val="0"/>
          <w:marBottom w:val="0"/>
          <w:divBdr>
            <w:top w:val="none" w:sz="0" w:space="0" w:color="auto"/>
            <w:left w:val="none" w:sz="0" w:space="0" w:color="auto"/>
            <w:bottom w:val="none" w:sz="0" w:space="0" w:color="auto"/>
            <w:right w:val="none" w:sz="0" w:space="0" w:color="auto"/>
          </w:divBdr>
        </w:div>
        <w:div w:id="112135987">
          <w:marLeft w:val="0"/>
          <w:marRight w:val="0"/>
          <w:marTop w:val="0"/>
          <w:marBottom w:val="0"/>
          <w:divBdr>
            <w:top w:val="none" w:sz="0" w:space="0" w:color="auto"/>
            <w:left w:val="none" w:sz="0" w:space="0" w:color="auto"/>
            <w:bottom w:val="none" w:sz="0" w:space="0" w:color="auto"/>
            <w:right w:val="none" w:sz="0" w:space="0" w:color="auto"/>
          </w:divBdr>
        </w:div>
        <w:div w:id="319312907">
          <w:marLeft w:val="0"/>
          <w:marRight w:val="0"/>
          <w:marTop w:val="0"/>
          <w:marBottom w:val="0"/>
          <w:divBdr>
            <w:top w:val="none" w:sz="0" w:space="0" w:color="auto"/>
            <w:left w:val="none" w:sz="0" w:space="0" w:color="auto"/>
            <w:bottom w:val="none" w:sz="0" w:space="0" w:color="auto"/>
            <w:right w:val="none" w:sz="0" w:space="0" w:color="auto"/>
          </w:divBdr>
        </w:div>
        <w:div w:id="2009092769">
          <w:marLeft w:val="0"/>
          <w:marRight w:val="0"/>
          <w:marTop w:val="0"/>
          <w:marBottom w:val="0"/>
          <w:divBdr>
            <w:top w:val="none" w:sz="0" w:space="0" w:color="auto"/>
            <w:left w:val="none" w:sz="0" w:space="0" w:color="auto"/>
            <w:bottom w:val="none" w:sz="0" w:space="0" w:color="auto"/>
            <w:right w:val="none" w:sz="0" w:space="0" w:color="auto"/>
          </w:divBdr>
        </w:div>
        <w:div w:id="1381201641">
          <w:marLeft w:val="0"/>
          <w:marRight w:val="0"/>
          <w:marTop w:val="0"/>
          <w:marBottom w:val="0"/>
          <w:divBdr>
            <w:top w:val="none" w:sz="0" w:space="0" w:color="auto"/>
            <w:left w:val="none" w:sz="0" w:space="0" w:color="auto"/>
            <w:bottom w:val="none" w:sz="0" w:space="0" w:color="auto"/>
            <w:right w:val="none" w:sz="0" w:space="0" w:color="auto"/>
          </w:divBdr>
        </w:div>
        <w:div w:id="418987218">
          <w:marLeft w:val="0"/>
          <w:marRight w:val="0"/>
          <w:marTop w:val="0"/>
          <w:marBottom w:val="0"/>
          <w:divBdr>
            <w:top w:val="none" w:sz="0" w:space="0" w:color="auto"/>
            <w:left w:val="none" w:sz="0" w:space="0" w:color="auto"/>
            <w:bottom w:val="none" w:sz="0" w:space="0" w:color="auto"/>
            <w:right w:val="none" w:sz="0" w:space="0" w:color="auto"/>
          </w:divBdr>
        </w:div>
        <w:div w:id="1858345610">
          <w:marLeft w:val="0"/>
          <w:marRight w:val="0"/>
          <w:marTop w:val="0"/>
          <w:marBottom w:val="0"/>
          <w:divBdr>
            <w:top w:val="none" w:sz="0" w:space="0" w:color="auto"/>
            <w:left w:val="none" w:sz="0" w:space="0" w:color="auto"/>
            <w:bottom w:val="none" w:sz="0" w:space="0" w:color="auto"/>
            <w:right w:val="none" w:sz="0" w:space="0" w:color="auto"/>
          </w:divBdr>
        </w:div>
        <w:div w:id="595866902">
          <w:marLeft w:val="0"/>
          <w:marRight w:val="0"/>
          <w:marTop w:val="0"/>
          <w:marBottom w:val="0"/>
          <w:divBdr>
            <w:top w:val="none" w:sz="0" w:space="0" w:color="auto"/>
            <w:left w:val="none" w:sz="0" w:space="0" w:color="auto"/>
            <w:bottom w:val="none" w:sz="0" w:space="0" w:color="auto"/>
            <w:right w:val="none" w:sz="0" w:space="0" w:color="auto"/>
          </w:divBdr>
        </w:div>
        <w:div w:id="44724543">
          <w:marLeft w:val="0"/>
          <w:marRight w:val="0"/>
          <w:marTop w:val="0"/>
          <w:marBottom w:val="0"/>
          <w:divBdr>
            <w:top w:val="none" w:sz="0" w:space="0" w:color="auto"/>
            <w:left w:val="none" w:sz="0" w:space="0" w:color="auto"/>
            <w:bottom w:val="none" w:sz="0" w:space="0" w:color="auto"/>
            <w:right w:val="none" w:sz="0" w:space="0" w:color="auto"/>
          </w:divBdr>
        </w:div>
        <w:div w:id="1603223823">
          <w:marLeft w:val="0"/>
          <w:marRight w:val="0"/>
          <w:marTop w:val="0"/>
          <w:marBottom w:val="0"/>
          <w:divBdr>
            <w:top w:val="none" w:sz="0" w:space="0" w:color="auto"/>
            <w:left w:val="none" w:sz="0" w:space="0" w:color="auto"/>
            <w:bottom w:val="none" w:sz="0" w:space="0" w:color="auto"/>
            <w:right w:val="none" w:sz="0" w:space="0" w:color="auto"/>
          </w:divBdr>
        </w:div>
        <w:div w:id="395825">
          <w:marLeft w:val="0"/>
          <w:marRight w:val="0"/>
          <w:marTop w:val="0"/>
          <w:marBottom w:val="0"/>
          <w:divBdr>
            <w:top w:val="none" w:sz="0" w:space="0" w:color="auto"/>
            <w:left w:val="none" w:sz="0" w:space="0" w:color="auto"/>
            <w:bottom w:val="none" w:sz="0" w:space="0" w:color="auto"/>
            <w:right w:val="none" w:sz="0" w:space="0" w:color="auto"/>
          </w:divBdr>
        </w:div>
        <w:div w:id="655187151">
          <w:marLeft w:val="0"/>
          <w:marRight w:val="0"/>
          <w:marTop w:val="0"/>
          <w:marBottom w:val="0"/>
          <w:divBdr>
            <w:top w:val="none" w:sz="0" w:space="0" w:color="auto"/>
            <w:left w:val="none" w:sz="0" w:space="0" w:color="auto"/>
            <w:bottom w:val="none" w:sz="0" w:space="0" w:color="auto"/>
            <w:right w:val="none" w:sz="0" w:space="0" w:color="auto"/>
          </w:divBdr>
        </w:div>
        <w:div w:id="788819920">
          <w:marLeft w:val="0"/>
          <w:marRight w:val="0"/>
          <w:marTop w:val="0"/>
          <w:marBottom w:val="0"/>
          <w:divBdr>
            <w:top w:val="none" w:sz="0" w:space="0" w:color="auto"/>
            <w:left w:val="none" w:sz="0" w:space="0" w:color="auto"/>
            <w:bottom w:val="none" w:sz="0" w:space="0" w:color="auto"/>
            <w:right w:val="none" w:sz="0" w:space="0" w:color="auto"/>
          </w:divBdr>
        </w:div>
        <w:div w:id="2085951119">
          <w:marLeft w:val="0"/>
          <w:marRight w:val="0"/>
          <w:marTop w:val="0"/>
          <w:marBottom w:val="0"/>
          <w:divBdr>
            <w:top w:val="none" w:sz="0" w:space="0" w:color="auto"/>
            <w:left w:val="none" w:sz="0" w:space="0" w:color="auto"/>
            <w:bottom w:val="none" w:sz="0" w:space="0" w:color="auto"/>
            <w:right w:val="none" w:sz="0" w:space="0" w:color="auto"/>
          </w:divBdr>
        </w:div>
        <w:div w:id="2094694322">
          <w:marLeft w:val="0"/>
          <w:marRight w:val="0"/>
          <w:marTop w:val="0"/>
          <w:marBottom w:val="0"/>
          <w:divBdr>
            <w:top w:val="none" w:sz="0" w:space="0" w:color="auto"/>
            <w:left w:val="none" w:sz="0" w:space="0" w:color="auto"/>
            <w:bottom w:val="none" w:sz="0" w:space="0" w:color="auto"/>
            <w:right w:val="none" w:sz="0" w:space="0" w:color="auto"/>
          </w:divBdr>
        </w:div>
        <w:div w:id="1995259885">
          <w:marLeft w:val="0"/>
          <w:marRight w:val="0"/>
          <w:marTop w:val="0"/>
          <w:marBottom w:val="0"/>
          <w:divBdr>
            <w:top w:val="none" w:sz="0" w:space="0" w:color="auto"/>
            <w:left w:val="none" w:sz="0" w:space="0" w:color="auto"/>
            <w:bottom w:val="none" w:sz="0" w:space="0" w:color="auto"/>
            <w:right w:val="none" w:sz="0" w:space="0" w:color="auto"/>
          </w:divBdr>
        </w:div>
        <w:div w:id="2087922254">
          <w:marLeft w:val="0"/>
          <w:marRight w:val="0"/>
          <w:marTop w:val="0"/>
          <w:marBottom w:val="0"/>
          <w:divBdr>
            <w:top w:val="none" w:sz="0" w:space="0" w:color="auto"/>
            <w:left w:val="none" w:sz="0" w:space="0" w:color="auto"/>
            <w:bottom w:val="none" w:sz="0" w:space="0" w:color="auto"/>
            <w:right w:val="none" w:sz="0" w:space="0" w:color="auto"/>
          </w:divBdr>
        </w:div>
        <w:div w:id="113057575">
          <w:marLeft w:val="0"/>
          <w:marRight w:val="0"/>
          <w:marTop w:val="0"/>
          <w:marBottom w:val="0"/>
          <w:divBdr>
            <w:top w:val="none" w:sz="0" w:space="0" w:color="auto"/>
            <w:left w:val="none" w:sz="0" w:space="0" w:color="auto"/>
            <w:bottom w:val="none" w:sz="0" w:space="0" w:color="auto"/>
            <w:right w:val="none" w:sz="0" w:space="0" w:color="auto"/>
          </w:divBdr>
        </w:div>
        <w:div w:id="1303466166">
          <w:marLeft w:val="0"/>
          <w:marRight w:val="0"/>
          <w:marTop w:val="0"/>
          <w:marBottom w:val="0"/>
          <w:divBdr>
            <w:top w:val="none" w:sz="0" w:space="0" w:color="auto"/>
            <w:left w:val="none" w:sz="0" w:space="0" w:color="auto"/>
            <w:bottom w:val="none" w:sz="0" w:space="0" w:color="auto"/>
            <w:right w:val="none" w:sz="0" w:space="0" w:color="auto"/>
          </w:divBdr>
        </w:div>
        <w:div w:id="486016463">
          <w:marLeft w:val="0"/>
          <w:marRight w:val="0"/>
          <w:marTop w:val="0"/>
          <w:marBottom w:val="0"/>
          <w:divBdr>
            <w:top w:val="none" w:sz="0" w:space="0" w:color="auto"/>
            <w:left w:val="none" w:sz="0" w:space="0" w:color="auto"/>
            <w:bottom w:val="none" w:sz="0" w:space="0" w:color="auto"/>
            <w:right w:val="none" w:sz="0" w:space="0" w:color="auto"/>
          </w:divBdr>
        </w:div>
        <w:div w:id="1331982897">
          <w:marLeft w:val="0"/>
          <w:marRight w:val="0"/>
          <w:marTop w:val="0"/>
          <w:marBottom w:val="0"/>
          <w:divBdr>
            <w:top w:val="none" w:sz="0" w:space="0" w:color="auto"/>
            <w:left w:val="none" w:sz="0" w:space="0" w:color="auto"/>
            <w:bottom w:val="none" w:sz="0" w:space="0" w:color="auto"/>
            <w:right w:val="none" w:sz="0" w:space="0" w:color="auto"/>
          </w:divBdr>
        </w:div>
        <w:div w:id="1688092592">
          <w:marLeft w:val="0"/>
          <w:marRight w:val="0"/>
          <w:marTop w:val="0"/>
          <w:marBottom w:val="0"/>
          <w:divBdr>
            <w:top w:val="none" w:sz="0" w:space="0" w:color="auto"/>
            <w:left w:val="none" w:sz="0" w:space="0" w:color="auto"/>
            <w:bottom w:val="none" w:sz="0" w:space="0" w:color="auto"/>
            <w:right w:val="none" w:sz="0" w:space="0" w:color="auto"/>
          </w:divBdr>
        </w:div>
        <w:div w:id="1020157544">
          <w:marLeft w:val="0"/>
          <w:marRight w:val="0"/>
          <w:marTop w:val="0"/>
          <w:marBottom w:val="0"/>
          <w:divBdr>
            <w:top w:val="none" w:sz="0" w:space="0" w:color="auto"/>
            <w:left w:val="none" w:sz="0" w:space="0" w:color="auto"/>
            <w:bottom w:val="none" w:sz="0" w:space="0" w:color="auto"/>
            <w:right w:val="none" w:sz="0" w:space="0" w:color="auto"/>
          </w:divBdr>
        </w:div>
        <w:div w:id="819466201">
          <w:marLeft w:val="0"/>
          <w:marRight w:val="0"/>
          <w:marTop w:val="0"/>
          <w:marBottom w:val="0"/>
          <w:divBdr>
            <w:top w:val="none" w:sz="0" w:space="0" w:color="auto"/>
            <w:left w:val="none" w:sz="0" w:space="0" w:color="auto"/>
            <w:bottom w:val="none" w:sz="0" w:space="0" w:color="auto"/>
            <w:right w:val="none" w:sz="0" w:space="0" w:color="auto"/>
          </w:divBdr>
        </w:div>
        <w:div w:id="1155145519">
          <w:marLeft w:val="0"/>
          <w:marRight w:val="0"/>
          <w:marTop w:val="0"/>
          <w:marBottom w:val="0"/>
          <w:divBdr>
            <w:top w:val="none" w:sz="0" w:space="0" w:color="auto"/>
            <w:left w:val="none" w:sz="0" w:space="0" w:color="auto"/>
            <w:bottom w:val="none" w:sz="0" w:space="0" w:color="auto"/>
            <w:right w:val="none" w:sz="0" w:space="0" w:color="auto"/>
          </w:divBdr>
        </w:div>
        <w:div w:id="1953785409">
          <w:marLeft w:val="0"/>
          <w:marRight w:val="0"/>
          <w:marTop w:val="0"/>
          <w:marBottom w:val="0"/>
          <w:divBdr>
            <w:top w:val="none" w:sz="0" w:space="0" w:color="auto"/>
            <w:left w:val="none" w:sz="0" w:space="0" w:color="auto"/>
            <w:bottom w:val="none" w:sz="0" w:space="0" w:color="auto"/>
            <w:right w:val="none" w:sz="0" w:space="0" w:color="auto"/>
          </w:divBdr>
        </w:div>
        <w:div w:id="1791584555">
          <w:marLeft w:val="0"/>
          <w:marRight w:val="0"/>
          <w:marTop w:val="0"/>
          <w:marBottom w:val="0"/>
          <w:divBdr>
            <w:top w:val="none" w:sz="0" w:space="0" w:color="auto"/>
            <w:left w:val="none" w:sz="0" w:space="0" w:color="auto"/>
            <w:bottom w:val="none" w:sz="0" w:space="0" w:color="auto"/>
            <w:right w:val="none" w:sz="0" w:space="0" w:color="auto"/>
          </w:divBdr>
        </w:div>
        <w:div w:id="1929581276">
          <w:marLeft w:val="0"/>
          <w:marRight w:val="0"/>
          <w:marTop w:val="0"/>
          <w:marBottom w:val="0"/>
          <w:divBdr>
            <w:top w:val="none" w:sz="0" w:space="0" w:color="auto"/>
            <w:left w:val="none" w:sz="0" w:space="0" w:color="auto"/>
            <w:bottom w:val="none" w:sz="0" w:space="0" w:color="auto"/>
            <w:right w:val="none" w:sz="0" w:space="0" w:color="auto"/>
          </w:divBdr>
        </w:div>
        <w:div w:id="63336663">
          <w:marLeft w:val="0"/>
          <w:marRight w:val="0"/>
          <w:marTop w:val="0"/>
          <w:marBottom w:val="0"/>
          <w:divBdr>
            <w:top w:val="none" w:sz="0" w:space="0" w:color="auto"/>
            <w:left w:val="none" w:sz="0" w:space="0" w:color="auto"/>
            <w:bottom w:val="none" w:sz="0" w:space="0" w:color="auto"/>
            <w:right w:val="none" w:sz="0" w:space="0" w:color="auto"/>
          </w:divBdr>
        </w:div>
        <w:div w:id="1579443858">
          <w:marLeft w:val="0"/>
          <w:marRight w:val="0"/>
          <w:marTop w:val="0"/>
          <w:marBottom w:val="0"/>
          <w:divBdr>
            <w:top w:val="none" w:sz="0" w:space="0" w:color="auto"/>
            <w:left w:val="none" w:sz="0" w:space="0" w:color="auto"/>
            <w:bottom w:val="none" w:sz="0" w:space="0" w:color="auto"/>
            <w:right w:val="none" w:sz="0" w:space="0" w:color="auto"/>
          </w:divBdr>
        </w:div>
        <w:div w:id="1642953862">
          <w:marLeft w:val="0"/>
          <w:marRight w:val="0"/>
          <w:marTop w:val="0"/>
          <w:marBottom w:val="0"/>
          <w:divBdr>
            <w:top w:val="none" w:sz="0" w:space="0" w:color="auto"/>
            <w:left w:val="none" w:sz="0" w:space="0" w:color="auto"/>
            <w:bottom w:val="none" w:sz="0" w:space="0" w:color="auto"/>
            <w:right w:val="none" w:sz="0" w:space="0" w:color="auto"/>
          </w:divBdr>
        </w:div>
        <w:div w:id="259261212">
          <w:marLeft w:val="0"/>
          <w:marRight w:val="0"/>
          <w:marTop w:val="0"/>
          <w:marBottom w:val="0"/>
          <w:divBdr>
            <w:top w:val="none" w:sz="0" w:space="0" w:color="auto"/>
            <w:left w:val="none" w:sz="0" w:space="0" w:color="auto"/>
            <w:bottom w:val="none" w:sz="0" w:space="0" w:color="auto"/>
            <w:right w:val="none" w:sz="0" w:space="0" w:color="auto"/>
          </w:divBdr>
        </w:div>
        <w:div w:id="733162405">
          <w:marLeft w:val="0"/>
          <w:marRight w:val="0"/>
          <w:marTop w:val="0"/>
          <w:marBottom w:val="0"/>
          <w:divBdr>
            <w:top w:val="none" w:sz="0" w:space="0" w:color="auto"/>
            <w:left w:val="none" w:sz="0" w:space="0" w:color="auto"/>
            <w:bottom w:val="none" w:sz="0" w:space="0" w:color="auto"/>
            <w:right w:val="none" w:sz="0" w:space="0" w:color="auto"/>
          </w:divBdr>
        </w:div>
        <w:div w:id="1285505283">
          <w:marLeft w:val="0"/>
          <w:marRight w:val="0"/>
          <w:marTop w:val="0"/>
          <w:marBottom w:val="0"/>
          <w:divBdr>
            <w:top w:val="none" w:sz="0" w:space="0" w:color="auto"/>
            <w:left w:val="none" w:sz="0" w:space="0" w:color="auto"/>
            <w:bottom w:val="none" w:sz="0" w:space="0" w:color="auto"/>
            <w:right w:val="none" w:sz="0" w:space="0" w:color="auto"/>
          </w:divBdr>
        </w:div>
        <w:div w:id="48962938">
          <w:marLeft w:val="0"/>
          <w:marRight w:val="0"/>
          <w:marTop w:val="0"/>
          <w:marBottom w:val="0"/>
          <w:divBdr>
            <w:top w:val="none" w:sz="0" w:space="0" w:color="auto"/>
            <w:left w:val="none" w:sz="0" w:space="0" w:color="auto"/>
            <w:bottom w:val="none" w:sz="0" w:space="0" w:color="auto"/>
            <w:right w:val="none" w:sz="0" w:space="0" w:color="auto"/>
          </w:divBdr>
        </w:div>
        <w:div w:id="681011503">
          <w:marLeft w:val="0"/>
          <w:marRight w:val="0"/>
          <w:marTop w:val="0"/>
          <w:marBottom w:val="0"/>
          <w:divBdr>
            <w:top w:val="none" w:sz="0" w:space="0" w:color="auto"/>
            <w:left w:val="none" w:sz="0" w:space="0" w:color="auto"/>
            <w:bottom w:val="none" w:sz="0" w:space="0" w:color="auto"/>
            <w:right w:val="none" w:sz="0" w:space="0" w:color="auto"/>
          </w:divBdr>
        </w:div>
        <w:div w:id="693307474">
          <w:marLeft w:val="0"/>
          <w:marRight w:val="0"/>
          <w:marTop w:val="0"/>
          <w:marBottom w:val="0"/>
          <w:divBdr>
            <w:top w:val="none" w:sz="0" w:space="0" w:color="auto"/>
            <w:left w:val="none" w:sz="0" w:space="0" w:color="auto"/>
            <w:bottom w:val="none" w:sz="0" w:space="0" w:color="auto"/>
            <w:right w:val="none" w:sz="0" w:space="0" w:color="auto"/>
          </w:divBdr>
        </w:div>
        <w:div w:id="2084837537">
          <w:marLeft w:val="0"/>
          <w:marRight w:val="0"/>
          <w:marTop w:val="0"/>
          <w:marBottom w:val="0"/>
          <w:divBdr>
            <w:top w:val="none" w:sz="0" w:space="0" w:color="auto"/>
            <w:left w:val="none" w:sz="0" w:space="0" w:color="auto"/>
            <w:bottom w:val="none" w:sz="0" w:space="0" w:color="auto"/>
            <w:right w:val="none" w:sz="0" w:space="0" w:color="auto"/>
          </w:divBdr>
        </w:div>
        <w:div w:id="429861581">
          <w:marLeft w:val="0"/>
          <w:marRight w:val="0"/>
          <w:marTop w:val="0"/>
          <w:marBottom w:val="0"/>
          <w:divBdr>
            <w:top w:val="none" w:sz="0" w:space="0" w:color="auto"/>
            <w:left w:val="none" w:sz="0" w:space="0" w:color="auto"/>
            <w:bottom w:val="none" w:sz="0" w:space="0" w:color="auto"/>
            <w:right w:val="none" w:sz="0" w:space="0" w:color="auto"/>
          </w:divBdr>
        </w:div>
        <w:div w:id="154076135">
          <w:marLeft w:val="0"/>
          <w:marRight w:val="0"/>
          <w:marTop w:val="0"/>
          <w:marBottom w:val="0"/>
          <w:divBdr>
            <w:top w:val="none" w:sz="0" w:space="0" w:color="auto"/>
            <w:left w:val="none" w:sz="0" w:space="0" w:color="auto"/>
            <w:bottom w:val="none" w:sz="0" w:space="0" w:color="auto"/>
            <w:right w:val="none" w:sz="0" w:space="0" w:color="auto"/>
          </w:divBdr>
        </w:div>
        <w:div w:id="280839803">
          <w:marLeft w:val="0"/>
          <w:marRight w:val="0"/>
          <w:marTop w:val="0"/>
          <w:marBottom w:val="0"/>
          <w:divBdr>
            <w:top w:val="none" w:sz="0" w:space="0" w:color="auto"/>
            <w:left w:val="none" w:sz="0" w:space="0" w:color="auto"/>
            <w:bottom w:val="none" w:sz="0" w:space="0" w:color="auto"/>
            <w:right w:val="none" w:sz="0" w:space="0" w:color="auto"/>
          </w:divBdr>
        </w:div>
        <w:div w:id="423302896">
          <w:marLeft w:val="0"/>
          <w:marRight w:val="0"/>
          <w:marTop w:val="0"/>
          <w:marBottom w:val="0"/>
          <w:divBdr>
            <w:top w:val="none" w:sz="0" w:space="0" w:color="auto"/>
            <w:left w:val="none" w:sz="0" w:space="0" w:color="auto"/>
            <w:bottom w:val="none" w:sz="0" w:space="0" w:color="auto"/>
            <w:right w:val="none" w:sz="0" w:space="0" w:color="auto"/>
          </w:divBdr>
        </w:div>
        <w:div w:id="1289895526">
          <w:marLeft w:val="0"/>
          <w:marRight w:val="0"/>
          <w:marTop w:val="0"/>
          <w:marBottom w:val="0"/>
          <w:divBdr>
            <w:top w:val="none" w:sz="0" w:space="0" w:color="auto"/>
            <w:left w:val="none" w:sz="0" w:space="0" w:color="auto"/>
            <w:bottom w:val="none" w:sz="0" w:space="0" w:color="auto"/>
            <w:right w:val="none" w:sz="0" w:space="0" w:color="auto"/>
          </w:divBdr>
        </w:div>
        <w:div w:id="611783799">
          <w:marLeft w:val="0"/>
          <w:marRight w:val="0"/>
          <w:marTop w:val="0"/>
          <w:marBottom w:val="0"/>
          <w:divBdr>
            <w:top w:val="none" w:sz="0" w:space="0" w:color="auto"/>
            <w:left w:val="none" w:sz="0" w:space="0" w:color="auto"/>
            <w:bottom w:val="none" w:sz="0" w:space="0" w:color="auto"/>
            <w:right w:val="none" w:sz="0" w:space="0" w:color="auto"/>
          </w:divBdr>
        </w:div>
        <w:div w:id="1052539598">
          <w:marLeft w:val="0"/>
          <w:marRight w:val="0"/>
          <w:marTop w:val="0"/>
          <w:marBottom w:val="0"/>
          <w:divBdr>
            <w:top w:val="none" w:sz="0" w:space="0" w:color="auto"/>
            <w:left w:val="none" w:sz="0" w:space="0" w:color="auto"/>
            <w:bottom w:val="none" w:sz="0" w:space="0" w:color="auto"/>
            <w:right w:val="none" w:sz="0" w:space="0" w:color="auto"/>
          </w:divBdr>
        </w:div>
        <w:div w:id="1076708021">
          <w:marLeft w:val="0"/>
          <w:marRight w:val="0"/>
          <w:marTop w:val="0"/>
          <w:marBottom w:val="0"/>
          <w:divBdr>
            <w:top w:val="none" w:sz="0" w:space="0" w:color="auto"/>
            <w:left w:val="none" w:sz="0" w:space="0" w:color="auto"/>
            <w:bottom w:val="none" w:sz="0" w:space="0" w:color="auto"/>
            <w:right w:val="none" w:sz="0" w:space="0" w:color="auto"/>
          </w:divBdr>
        </w:div>
        <w:div w:id="1943413243">
          <w:marLeft w:val="0"/>
          <w:marRight w:val="0"/>
          <w:marTop w:val="0"/>
          <w:marBottom w:val="0"/>
          <w:divBdr>
            <w:top w:val="none" w:sz="0" w:space="0" w:color="auto"/>
            <w:left w:val="none" w:sz="0" w:space="0" w:color="auto"/>
            <w:bottom w:val="none" w:sz="0" w:space="0" w:color="auto"/>
            <w:right w:val="none" w:sz="0" w:space="0" w:color="auto"/>
          </w:divBdr>
        </w:div>
        <w:div w:id="1328366997">
          <w:marLeft w:val="0"/>
          <w:marRight w:val="0"/>
          <w:marTop w:val="0"/>
          <w:marBottom w:val="0"/>
          <w:divBdr>
            <w:top w:val="none" w:sz="0" w:space="0" w:color="auto"/>
            <w:left w:val="none" w:sz="0" w:space="0" w:color="auto"/>
            <w:bottom w:val="none" w:sz="0" w:space="0" w:color="auto"/>
            <w:right w:val="none" w:sz="0" w:space="0" w:color="auto"/>
          </w:divBdr>
        </w:div>
        <w:div w:id="1567493008">
          <w:marLeft w:val="0"/>
          <w:marRight w:val="0"/>
          <w:marTop w:val="0"/>
          <w:marBottom w:val="0"/>
          <w:divBdr>
            <w:top w:val="none" w:sz="0" w:space="0" w:color="auto"/>
            <w:left w:val="none" w:sz="0" w:space="0" w:color="auto"/>
            <w:bottom w:val="none" w:sz="0" w:space="0" w:color="auto"/>
            <w:right w:val="none" w:sz="0" w:space="0" w:color="auto"/>
          </w:divBdr>
        </w:div>
        <w:div w:id="1923640481">
          <w:marLeft w:val="0"/>
          <w:marRight w:val="0"/>
          <w:marTop w:val="0"/>
          <w:marBottom w:val="0"/>
          <w:divBdr>
            <w:top w:val="none" w:sz="0" w:space="0" w:color="auto"/>
            <w:left w:val="none" w:sz="0" w:space="0" w:color="auto"/>
            <w:bottom w:val="none" w:sz="0" w:space="0" w:color="auto"/>
            <w:right w:val="none" w:sz="0" w:space="0" w:color="auto"/>
          </w:divBdr>
        </w:div>
        <w:div w:id="95949588">
          <w:marLeft w:val="0"/>
          <w:marRight w:val="0"/>
          <w:marTop w:val="0"/>
          <w:marBottom w:val="0"/>
          <w:divBdr>
            <w:top w:val="none" w:sz="0" w:space="0" w:color="auto"/>
            <w:left w:val="none" w:sz="0" w:space="0" w:color="auto"/>
            <w:bottom w:val="none" w:sz="0" w:space="0" w:color="auto"/>
            <w:right w:val="none" w:sz="0" w:space="0" w:color="auto"/>
          </w:divBdr>
        </w:div>
        <w:div w:id="567808178">
          <w:marLeft w:val="0"/>
          <w:marRight w:val="0"/>
          <w:marTop w:val="0"/>
          <w:marBottom w:val="0"/>
          <w:divBdr>
            <w:top w:val="none" w:sz="0" w:space="0" w:color="auto"/>
            <w:left w:val="none" w:sz="0" w:space="0" w:color="auto"/>
            <w:bottom w:val="none" w:sz="0" w:space="0" w:color="auto"/>
            <w:right w:val="none" w:sz="0" w:space="0" w:color="auto"/>
          </w:divBdr>
        </w:div>
        <w:div w:id="503321066">
          <w:marLeft w:val="0"/>
          <w:marRight w:val="0"/>
          <w:marTop w:val="0"/>
          <w:marBottom w:val="0"/>
          <w:divBdr>
            <w:top w:val="none" w:sz="0" w:space="0" w:color="auto"/>
            <w:left w:val="none" w:sz="0" w:space="0" w:color="auto"/>
            <w:bottom w:val="none" w:sz="0" w:space="0" w:color="auto"/>
            <w:right w:val="none" w:sz="0" w:space="0" w:color="auto"/>
          </w:divBdr>
        </w:div>
        <w:div w:id="997075831">
          <w:marLeft w:val="0"/>
          <w:marRight w:val="0"/>
          <w:marTop w:val="0"/>
          <w:marBottom w:val="0"/>
          <w:divBdr>
            <w:top w:val="none" w:sz="0" w:space="0" w:color="auto"/>
            <w:left w:val="none" w:sz="0" w:space="0" w:color="auto"/>
            <w:bottom w:val="none" w:sz="0" w:space="0" w:color="auto"/>
            <w:right w:val="none" w:sz="0" w:space="0" w:color="auto"/>
          </w:divBdr>
        </w:div>
        <w:div w:id="1359700635">
          <w:marLeft w:val="0"/>
          <w:marRight w:val="0"/>
          <w:marTop w:val="0"/>
          <w:marBottom w:val="0"/>
          <w:divBdr>
            <w:top w:val="none" w:sz="0" w:space="0" w:color="auto"/>
            <w:left w:val="none" w:sz="0" w:space="0" w:color="auto"/>
            <w:bottom w:val="none" w:sz="0" w:space="0" w:color="auto"/>
            <w:right w:val="none" w:sz="0" w:space="0" w:color="auto"/>
          </w:divBdr>
        </w:div>
        <w:div w:id="1103572418">
          <w:marLeft w:val="0"/>
          <w:marRight w:val="0"/>
          <w:marTop w:val="0"/>
          <w:marBottom w:val="0"/>
          <w:divBdr>
            <w:top w:val="none" w:sz="0" w:space="0" w:color="auto"/>
            <w:left w:val="none" w:sz="0" w:space="0" w:color="auto"/>
            <w:bottom w:val="none" w:sz="0" w:space="0" w:color="auto"/>
            <w:right w:val="none" w:sz="0" w:space="0" w:color="auto"/>
          </w:divBdr>
        </w:div>
        <w:div w:id="300040760">
          <w:marLeft w:val="0"/>
          <w:marRight w:val="0"/>
          <w:marTop w:val="0"/>
          <w:marBottom w:val="0"/>
          <w:divBdr>
            <w:top w:val="none" w:sz="0" w:space="0" w:color="auto"/>
            <w:left w:val="none" w:sz="0" w:space="0" w:color="auto"/>
            <w:bottom w:val="none" w:sz="0" w:space="0" w:color="auto"/>
            <w:right w:val="none" w:sz="0" w:space="0" w:color="auto"/>
          </w:divBdr>
        </w:div>
        <w:div w:id="1630086111">
          <w:marLeft w:val="0"/>
          <w:marRight w:val="0"/>
          <w:marTop w:val="0"/>
          <w:marBottom w:val="0"/>
          <w:divBdr>
            <w:top w:val="none" w:sz="0" w:space="0" w:color="auto"/>
            <w:left w:val="none" w:sz="0" w:space="0" w:color="auto"/>
            <w:bottom w:val="none" w:sz="0" w:space="0" w:color="auto"/>
            <w:right w:val="none" w:sz="0" w:space="0" w:color="auto"/>
          </w:divBdr>
        </w:div>
        <w:div w:id="2059157586">
          <w:marLeft w:val="0"/>
          <w:marRight w:val="0"/>
          <w:marTop w:val="0"/>
          <w:marBottom w:val="0"/>
          <w:divBdr>
            <w:top w:val="none" w:sz="0" w:space="0" w:color="auto"/>
            <w:left w:val="none" w:sz="0" w:space="0" w:color="auto"/>
            <w:bottom w:val="none" w:sz="0" w:space="0" w:color="auto"/>
            <w:right w:val="none" w:sz="0" w:space="0" w:color="auto"/>
          </w:divBdr>
        </w:div>
        <w:div w:id="91976647">
          <w:marLeft w:val="0"/>
          <w:marRight w:val="0"/>
          <w:marTop w:val="0"/>
          <w:marBottom w:val="0"/>
          <w:divBdr>
            <w:top w:val="none" w:sz="0" w:space="0" w:color="auto"/>
            <w:left w:val="none" w:sz="0" w:space="0" w:color="auto"/>
            <w:bottom w:val="none" w:sz="0" w:space="0" w:color="auto"/>
            <w:right w:val="none" w:sz="0" w:space="0" w:color="auto"/>
          </w:divBdr>
        </w:div>
        <w:div w:id="10184695">
          <w:marLeft w:val="0"/>
          <w:marRight w:val="0"/>
          <w:marTop w:val="0"/>
          <w:marBottom w:val="0"/>
          <w:divBdr>
            <w:top w:val="none" w:sz="0" w:space="0" w:color="auto"/>
            <w:left w:val="none" w:sz="0" w:space="0" w:color="auto"/>
            <w:bottom w:val="none" w:sz="0" w:space="0" w:color="auto"/>
            <w:right w:val="none" w:sz="0" w:space="0" w:color="auto"/>
          </w:divBdr>
        </w:div>
        <w:div w:id="872840128">
          <w:marLeft w:val="0"/>
          <w:marRight w:val="0"/>
          <w:marTop w:val="0"/>
          <w:marBottom w:val="0"/>
          <w:divBdr>
            <w:top w:val="none" w:sz="0" w:space="0" w:color="auto"/>
            <w:left w:val="none" w:sz="0" w:space="0" w:color="auto"/>
            <w:bottom w:val="none" w:sz="0" w:space="0" w:color="auto"/>
            <w:right w:val="none" w:sz="0" w:space="0" w:color="auto"/>
          </w:divBdr>
        </w:div>
      </w:divsChild>
    </w:div>
    <w:div w:id="962420908">
      <w:bodyDiv w:val="1"/>
      <w:marLeft w:val="0"/>
      <w:marRight w:val="0"/>
      <w:marTop w:val="0"/>
      <w:marBottom w:val="0"/>
      <w:divBdr>
        <w:top w:val="none" w:sz="0" w:space="0" w:color="auto"/>
        <w:left w:val="none" w:sz="0" w:space="0" w:color="auto"/>
        <w:bottom w:val="none" w:sz="0" w:space="0" w:color="auto"/>
        <w:right w:val="none" w:sz="0" w:space="0" w:color="auto"/>
      </w:divBdr>
      <w:divsChild>
        <w:div w:id="1066533199">
          <w:marLeft w:val="994"/>
          <w:marRight w:val="0"/>
          <w:marTop w:val="0"/>
          <w:marBottom w:val="137"/>
          <w:divBdr>
            <w:top w:val="none" w:sz="0" w:space="0" w:color="auto"/>
            <w:left w:val="none" w:sz="0" w:space="0" w:color="auto"/>
            <w:bottom w:val="none" w:sz="0" w:space="0" w:color="auto"/>
            <w:right w:val="none" w:sz="0" w:space="0" w:color="auto"/>
          </w:divBdr>
        </w:div>
      </w:divsChild>
    </w:div>
    <w:div w:id="1078526728">
      <w:bodyDiv w:val="1"/>
      <w:marLeft w:val="0"/>
      <w:marRight w:val="0"/>
      <w:marTop w:val="0"/>
      <w:marBottom w:val="0"/>
      <w:divBdr>
        <w:top w:val="none" w:sz="0" w:space="0" w:color="auto"/>
        <w:left w:val="none" w:sz="0" w:space="0" w:color="auto"/>
        <w:bottom w:val="none" w:sz="0" w:space="0" w:color="auto"/>
        <w:right w:val="none" w:sz="0" w:space="0" w:color="auto"/>
      </w:divBdr>
    </w:div>
    <w:div w:id="1141845202">
      <w:bodyDiv w:val="1"/>
      <w:marLeft w:val="0"/>
      <w:marRight w:val="0"/>
      <w:marTop w:val="0"/>
      <w:marBottom w:val="0"/>
      <w:divBdr>
        <w:top w:val="none" w:sz="0" w:space="0" w:color="auto"/>
        <w:left w:val="none" w:sz="0" w:space="0" w:color="auto"/>
        <w:bottom w:val="none" w:sz="0" w:space="0" w:color="auto"/>
        <w:right w:val="none" w:sz="0" w:space="0" w:color="auto"/>
      </w:divBdr>
    </w:div>
    <w:div w:id="1255745412">
      <w:bodyDiv w:val="1"/>
      <w:marLeft w:val="0"/>
      <w:marRight w:val="0"/>
      <w:marTop w:val="0"/>
      <w:marBottom w:val="0"/>
      <w:divBdr>
        <w:top w:val="none" w:sz="0" w:space="0" w:color="auto"/>
        <w:left w:val="none" w:sz="0" w:space="0" w:color="auto"/>
        <w:bottom w:val="none" w:sz="0" w:space="0" w:color="auto"/>
        <w:right w:val="none" w:sz="0" w:space="0" w:color="auto"/>
      </w:divBdr>
      <w:divsChild>
        <w:div w:id="407924676">
          <w:marLeft w:val="0"/>
          <w:marRight w:val="0"/>
          <w:marTop w:val="0"/>
          <w:marBottom w:val="0"/>
          <w:divBdr>
            <w:top w:val="none" w:sz="0" w:space="0" w:color="auto"/>
            <w:left w:val="none" w:sz="0" w:space="0" w:color="auto"/>
            <w:bottom w:val="none" w:sz="0" w:space="0" w:color="auto"/>
            <w:right w:val="none" w:sz="0" w:space="0" w:color="auto"/>
          </w:divBdr>
        </w:div>
      </w:divsChild>
    </w:div>
    <w:div w:id="1338655177">
      <w:bodyDiv w:val="1"/>
      <w:marLeft w:val="0"/>
      <w:marRight w:val="0"/>
      <w:marTop w:val="0"/>
      <w:marBottom w:val="0"/>
      <w:divBdr>
        <w:top w:val="none" w:sz="0" w:space="0" w:color="auto"/>
        <w:left w:val="none" w:sz="0" w:space="0" w:color="auto"/>
        <w:bottom w:val="none" w:sz="0" w:space="0" w:color="auto"/>
        <w:right w:val="none" w:sz="0" w:space="0" w:color="auto"/>
      </w:divBdr>
      <w:divsChild>
        <w:div w:id="16153052">
          <w:marLeft w:val="0"/>
          <w:marRight w:val="0"/>
          <w:marTop w:val="0"/>
          <w:marBottom w:val="0"/>
          <w:divBdr>
            <w:top w:val="none" w:sz="0" w:space="0" w:color="auto"/>
            <w:left w:val="none" w:sz="0" w:space="0" w:color="auto"/>
            <w:bottom w:val="none" w:sz="0" w:space="0" w:color="auto"/>
            <w:right w:val="none" w:sz="0" w:space="0" w:color="auto"/>
          </w:divBdr>
        </w:div>
        <w:div w:id="67463189">
          <w:marLeft w:val="0"/>
          <w:marRight w:val="0"/>
          <w:marTop w:val="0"/>
          <w:marBottom w:val="0"/>
          <w:divBdr>
            <w:top w:val="none" w:sz="0" w:space="0" w:color="auto"/>
            <w:left w:val="none" w:sz="0" w:space="0" w:color="auto"/>
            <w:bottom w:val="none" w:sz="0" w:space="0" w:color="auto"/>
            <w:right w:val="none" w:sz="0" w:space="0" w:color="auto"/>
          </w:divBdr>
        </w:div>
        <w:div w:id="1625695731">
          <w:marLeft w:val="0"/>
          <w:marRight w:val="0"/>
          <w:marTop w:val="0"/>
          <w:marBottom w:val="0"/>
          <w:divBdr>
            <w:top w:val="none" w:sz="0" w:space="0" w:color="auto"/>
            <w:left w:val="none" w:sz="0" w:space="0" w:color="auto"/>
            <w:bottom w:val="none" w:sz="0" w:space="0" w:color="auto"/>
            <w:right w:val="none" w:sz="0" w:space="0" w:color="auto"/>
          </w:divBdr>
        </w:div>
        <w:div w:id="1898475031">
          <w:marLeft w:val="0"/>
          <w:marRight w:val="0"/>
          <w:marTop w:val="0"/>
          <w:marBottom w:val="0"/>
          <w:divBdr>
            <w:top w:val="none" w:sz="0" w:space="0" w:color="auto"/>
            <w:left w:val="none" w:sz="0" w:space="0" w:color="auto"/>
            <w:bottom w:val="none" w:sz="0" w:space="0" w:color="auto"/>
            <w:right w:val="none" w:sz="0" w:space="0" w:color="auto"/>
          </w:divBdr>
        </w:div>
        <w:div w:id="671225392">
          <w:marLeft w:val="0"/>
          <w:marRight w:val="0"/>
          <w:marTop w:val="0"/>
          <w:marBottom w:val="0"/>
          <w:divBdr>
            <w:top w:val="none" w:sz="0" w:space="0" w:color="auto"/>
            <w:left w:val="none" w:sz="0" w:space="0" w:color="auto"/>
            <w:bottom w:val="none" w:sz="0" w:space="0" w:color="auto"/>
            <w:right w:val="none" w:sz="0" w:space="0" w:color="auto"/>
          </w:divBdr>
        </w:div>
        <w:div w:id="896404816">
          <w:marLeft w:val="0"/>
          <w:marRight w:val="0"/>
          <w:marTop w:val="0"/>
          <w:marBottom w:val="0"/>
          <w:divBdr>
            <w:top w:val="none" w:sz="0" w:space="0" w:color="auto"/>
            <w:left w:val="none" w:sz="0" w:space="0" w:color="auto"/>
            <w:bottom w:val="none" w:sz="0" w:space="0" w:color="auto"/>
            <w:right w:val="none" w:sz="0" w:space="0" w:color="auto"/>
          </w:divBdr>
        </w:div>
        <w:div w:id="855311278">
          <w:marLeft w:val="0"/>
          <w:marRight w:val="0"/>
          <w:marTop w:val="0"/>
          <w:marBottom w:val="0"/>
          <w:divBdr>
            <w:top w:val="none" w:sz="0" w:space="0" w:color="auto"/>
            <w:left w:val="none" w:sz="0" w:space="0" w:color="auto"/>
            <w:bottom w:val="none" w:sz="0" w:space="0" w:color="auto"/>
            <w:right w:val="none" w:sz="0" w:space="0" w:color="auto"/>
          </w:divBdr>
        </w:div>
        <w:div w:id="641429558">
          <w:marLeft w:val="0"/>
          <w:marRight w:val="0"/>
          <w:marTop w:val="0"/>
          <w:marBottom w:val="0"/>
          <w:divBdr>
            <w:top w:val="none" w:sz="0" w:space="0" w:color="auto"/>
            <w:left w:val="none" w:sz="0" w:space="0" w:color="auto"/>
            <w:bottom w:val="none" w:sz="0" w:space="0" w:color="auto"/>
            <w:right w:val="none" w:sz="0" w:space="0" w:color="auto"/>
          </w:divBdr>
        </w:div>
        <w:div w:id="8482837">
          <w:marLeft w:val="0"/>
          <w:marRight w:val="0"/>
          <w:marTop w:val="0"/>
          <w:marBottom w:val="0"/>
          <w:divBdr>
            <w:top w:val="none" w:sz="0" w:space="0" w:color="auto"/>
            <w:left w:val="none" w:sz="0" w:space="0" w:color="auto"/>
            <w:bottom w:val="none" w:sz="0" w:space="0" w:color="auto"/>
            <w:right w:val="none" w:sz="0" w:space="0" w:color="auto"/>
          </w:divBdr>
        </w:div>
        <w:div w:id="1864440636">
          <w:marLeft w:val="0"/>
          <w:marRight w:val="0"/>
          <w:marTop w:val="0"/>
          <w:marBottom w:val="0"/>
          <w:divBdr>
            <w:top w:val="none" w:sz="0" w:space="0" w:color="auto"/>
            <w:left w:val="none" w:sz="0" w:space="0" w:color="auto"/>
            <w:bottom w:val="none" w:sz="0" w:space="0" w:color="auto"/>
            <w:right w:val="none" w:sz="0" w:space="0" w:color="auto"/>
          </w:divBdr>
        </w:div>
        <w:div w:id="866453886">
          <w:marLeft w:val="0"/>
          <w:marRight w:val="0"/>
          <w:marTop w:val="0"/>
          <w:marBottom w:val="0"/>
          <w:divBdr>
            <w:top w:val="none" w:sz="0" w:space="0" w:color="auto"/>
            <w:left w:val="none" w:sz="0" w:space="0" w:color="auto"/>
            <w:bottom w:val="none" w:sz="0" w:space="0" w:color="auto"/>
            <w:right w:val="none" w:sz="0" w:space="0" w:color="auto"/>
          </w:divBdr>
        </w:div>
        <w:div w:id="214859430">
          <w:marLeft w:val="0"/>
          <w:marRight w:val="0"/>
          <w:marTop w:val="0"/>
          <w:marBottom w:val="0"/>
          <w:divBdr>
            <w:top w:val="none" w:sz="0" w:space="0" w:color="auto"/>
            <w:left w:val="none" w:sz="0" w:space="0" w:color="auto"/>
            <w:bottom w:val="none" w:sz="0" w:space="0" w:color="auto"/>
            <w:right w:val="none" w:sz="0" w:space="0" w:color="auto"/>
          </w:divBdr>
        </w:div>
        <w:div w:id="819618821">
          <w:marLeft w:val="0"/>
          <w:marRight w:val="0"/>
          <w:marTop w:val="0"/>
          <w:marBottom w:val="0"/>
          <w:divBdr>
            <w:top w:val="none" w:sz="0" w:space="0" w:color="auto"/>
            <w:left w:val="none" w:sz="0" w:space="0" w:color="auto"/>
            <w:bottom w:val="none" w:sz="0" w:space="0" w:color="auto"/>
            <w:right w:val="none" w:sz="0" w:space="0" w:color="auto"/>
          </w:divBdr>
        </w:div>
        <w:div w:id="336274543">
          <w:marLeft w:val="0"/>
          <w:marRight w:val="0"/>
          <w:marTop w:val="0"/>
          <w:marBottom w:val="0"/>
          <w:divBdr>
            <w:top w:val="none" w:sz="0" w:space="0" w:color="auto"/>
            <w:left w:val="none" w:sz="0" w:space="0" w:color="auto"/>
            <w:bottom w:val="none" w:sz="0" w:space="0" w:color="auto"/>
            <w:right w:val="none" w:sz="0" w:space="0" w:color="auto"/>
          </w:divBdr>
        </w:div>
        <w:div w:id="1023553215">
          <w:marLeft w:val="0"/>
          <w:marRight w:val="0"/>
          <w:marTop w:val="0"/>
          <w:marBottom w:val="0"/>
          <w:divBdr>
            <w:top w:val="none" w:sz="0" w:space="0" w:color="auto"/>
            <w:left w:val="none" w:sz="0" w:space="0" w:color="auto"/>
            <w:bottom w:val="none" w:sz="0" w:space="0" w:color="auto"/>
            <w:right w:val="none" w:sz="0" w:space="0" w:color="auto"/>
          </w:divBdr>
        </w:div>
        <w:div w:id="1601058815">
          <w:marLeft w:val="0"/>
          <w:marRight w:val="0"/>
          <w:marTop w:val="0"/>
          <w:marBottom w:val="0"/>
          <w:divBdr>
            <w:top w:val="none" w:sz="0" w:space="0" w:color="auto"/>
            <w:left w:val="none" w:sz="0" w:space="0" w:color="auto"/>
            <w:bottom w:val="none" w:sz="0" w:space="0" w:color="auto"/>
            <w:right w:val="none" w:sz="0" w:space="0" w:color="auto"/>
          </w:divBdr>
        </w:div>
        <w:div w:id="78215058">
          <w:marLeft w:val="0"/>
          <w:marRight w:val="0"/>
          <w:marTop w:val="0"/>
          <w:marBottom w:val="0"/>
          <w:divBdr>
            <w:top w:val="none" w:sz="0" w:space="0" w:color="auto"/>
            <w:left w:val="none" w:sz="0" w:space="0" w:color="auto"/>
            <w:bottom w:val="none" w:sz="0" w:space="0" w:color="auto"/>
            <w:right w:val="none" w:sz="0" w:space="0" w:color="auto"/>
          </w:divBdr>
        </w:div>
        <w:div w:id="140389058">
          <w:marLeft w:val="0"/>
          <w:marRight w:val="0"/>
          <w:marTop w:val="0"/>
          <w:marBottom w:val="0"/>
          <w:divBdr>
            <w:top w:val="none" w:sz="0" w:space="0" w:color="auto"/>
            <w:left w:val="none" w:sz="0" w:space="0" w:color="auto"/>
            <w:bottom w:val="none" w:sz="0" w:space="0" w:color="auto"/>
            <w:right w:val="none" w:sz="0" w:space="0" w:color="auto"/>
          </w:divBdr>
        </w:div>
        <w:div w:id="418988488">
          <w:marLeft w:val="0"/>
          <w:marRight w:val="0"/>
          <w:marTop w:val="0"/>
          <w:marBottom w:val="0"/>
          <w:divBdr>
            <w:top w:val="none" w:sz="0" w:space="0" w:color="auto"/>
            <w:left w:val="none" w:sz="0" w:space="0" w:color="auto"/>
            <w:bottom w:val="none" w:sz="0" w:space="0" w:color="auto"/>
            <w:right w:val="none" w:sz="0" w:space="0" w:color="auto"/>
          </w:divBdr>
        </w:div>
        <w:div w:id="1727022641">
          <w:marLeft w:val="0"/>
          <w:marRight w:val="0"/>
          <w:marTop w:val="0"/>
          <w:marBottom w:val="0"/>
          <w:divBdr>
            <w:top w:val="none" w:sz="0" w:space="0" w:color="auto"/>
            <w:left w:val="none" w:sz="0" w:space="0" w:color="auto"/>
            <w:bottom w:val="none" w:sz="0" w:space="0" w:color="auto"/>
            <w:right w:val="none" w:sz="0" w:space="0" w:color="auto"/>
          </w:divBdr>
        </w:div>
        <w:div w:id="525482469">
          <w:marLeft w:val="0"/>
          <w:marRight w:val="0"/>
          <w:marTop w:val="0"/>
          <w:marBottom w:val="0"/>
          <w:divBdr>
            <w:top w:val="none" w:sz="0" w:space="0" w:color="auto"/>
            <w:left w:val="none" w:sz="0" w:space="0" w:color="auto"/>
            <w:bottom w:val="none" w:sz="0" w:space="0" w:color="auto"/>
            <w:right w:val="none" w:sz="0" w:space="0" w:color="auto"/>
          </w:divBdr>
        </w:div>
        <w:div w:id="194006006">
          <w:marLeft w:val="0"/>
          <w:marRight w:val="0"/>
          <w:marTop w:val="0"/>
          <w:marBottom w:val="0"/>
          <w:divBdr>
            <w:top w:val="none" w:sz="0" w:space="0" w:color="auto"/>
            <w:left w:val="none" w:sz="0" w:space="0" w:color="auto"/>
            <w:bottom w:val="none" w:sz="0" w:space="0" w:color="auto"/>
            <w:right w:val="none" w:sz="0" w:space="0" w:color="auto"/>
          </w:divBdr>
        </w:div>
        <w:div w:id="496531893">
          <w:marLeft w:val="0"/>
          <w:marRight w:val="0"/>
          <w:marTop w:val="0"/>
          <w:marBottom w:val="0"/>
          <w:divBdr>
            <w:top w:val="none" w:sz="0" w:space="0" w:color="auto"/>
            <w:left w:val="none" w:sz="0" w:space="0" w:color="auto"/>
            <w:bottom w:val="none" w:sz="0" w:space="0" w:color="auto"/>
            <w:right w:val="none" w:sz="0" w:space="0" w:color="auto"/>
          </w:divBdr>
        </w:div>
        <w:div w:id="1359938098">
          <w:marLeft w:val="0"/>
          <w:marRight w:val="0"/>
          <w:marTop w:val="0"/>
          <w:marBottom w:val="0"/>
          <w:divBdr>
            <w:top w:val="none" w:sz="0" w:space="0" w:color="auto"/>
            <w:left w:val="none" w:sz="0" w:space="0" w:color="auto"/>
            <w:bottom w:val="none" w:sz="0" w:space="0" w:color="auto"/>
            <w:right w:val="none" w:sz="0" w:space="0" w:color="auto"/>
          </w:divBdr>
        </w:div>
        <w:div w:id="1105616463">
          <w:marLeft w:val="0"/>
          <w:marRight w:val="0"/>
          <w:marTop w:val="0"/>
          <w:marBottom w:val="0"/>
          <w:divBdr>
            <w:top w:val="none" w:sz="0" w:space="0" w:color="auto"/>
            <w:left w:val="none" w:sz="0" w:space="0" w:color="auto"/>
            <w:bottom w:val="none" w:sz="0" w:space="0" w:color="auto"/>
            <w:right w:val="none" w:sz="0" w:space="0" w:color="auto"/>
          </w:divBdr>
        </w:div>
        <w:div w:id="917255651">
          <w:marLeft w:val="0"/>
          <w:marRight w:val="0"/>
          <w:marTop w:val="0"/>
          <w:marBottom w:val="0"/>
          <w:divBdr>
            <w:top w:val="none" w:sz="0" w:space="0" w:color="auto"/>
            <w:left w:val="none" w:sz="0" w:space="0" w:color="auto"/>
            <w:bottom w:val="none" w:sz="0" w:space="0" w:color="auto"/>
            <w:right w:val="none" w:sz="0" w:space="0" w:color="auto"/>
          </w:divBdr>
        </w:div>
        <w:div w:id="1592355529">
          <w:marLeft w:val="0"/>
          <w:marRight w:val="0"/>
          <w:marTop w:val="0"/>
          <w:marBottom w:val="0"/>
          <w:divBdr>
            <w:top w:val="none" w:sz="0" w:space="0" w:color="auto"/>
            <w:left w:val="none" w:sz="0" w:space="0" w:color="auto"/>
            <w:bottom w:val="none" w:sz="0" w:space="0" w:color="auto"/>
            <w:right w:val="none" w:sz="0" w:space="0" w:color="auto"/>
          </w:divBdr>
        </w:div>
        <w:div w:id="929200892">
          <w:marLeft w:val="0"/>
          <w:marRight w:val="0"/>
          <w:marTop w:val="0"/>
          <w:marBottom w:val="0"/>
          <w:divBdr>
            <w:top w:val="none" w:sz="0" w:space="0" w:color="auto"/>
            <w:left w:val="none" w:sz="0" w:space="0" w:color="auto"/>
            <w:bottom w:val="none" w:sz="0" w:space="0" w:color="auto"/>
            <w:right w:val="none" w:sz="0" w:space="0" w:color="auto"/>
          </w:divBdr>
        </w:div>
        <w:div w:id="562910455">
          <w:marLeft w:val="0"/>
          <w:marRight w:val="0"/>
          <w:marTop w:val="0"/>
          <w:marBottom w:val="0"/>
          <w:divBdr>
            <w:top w:val="none" w:sz="0" w:space="0" w:color="auto"/>
            <w:left w:val="none" w:sz="0" w:space="0" w:color="auto"/>
            <w:bottom w:val="none" w:sz="0" w:space="0" w:color="auto"/>
            <w:right w:val="none" w:sz="0" w:space="0" w:color="auto"/>
          </w:divBdr>
        </w:div>
        <w:div w:id="612713584">
          <w:marLeft w:val="0"/>
          <w:marRight w:val="0"/>
          <w:marTop w:val="0"/>
          <w:marBottom w:val="0"/>
          <w:divBdr>
            <w:top w:val="none" w:sz="0" w:space="0" w:color="auto"/>
            <w:left w:val="none" w:sz="0" w:space="0" w:color="auto"/>
            <w:bottom w:val="none" w:sz="0" w:space="0" w:color="auto"/>
            <w:right w:val="none" w:sz="0" w:space="0" w:color="auto"/>
          </w:divBdr>
        </w:div>
        <w:div w:id="2027291962">
          <w:marLeft w:val="0"/>
          <w:marRight w:val="0"/>
          <w:marTop w:val="0"/>
          <w:marBottom w:val="0"/>
          <w:divBdr>
            <w:top w:val="none" w:sz="0" w:space="0" w:color="auto"/>
            <w:left w:val="none" w:sz="0" w:space="0" w:color="auto"/>
            <w:bottom w:val="none" w:sz="0" w:space="0" w:color="auto"/>
            <w:right w:val="none" w:sz="0" w:space="0" w:color="auto"/>
          </w:divBdr>
        </w:div>
        <w:div w:id="277226726">
          <w:marLeft w:val="0"/>
          <w:marRight w:val="0"/>
          <w:marTop w:val="0"/>
          <w:marBottom w:val="0"/>
          <w:divBdr>
            <w:top w:val="none" w:sz="0" w:space="0" w:color="auto"/>
            <w:left w:val="none" w:sz="0" w:space="0" w:color="auto"/>
            <w:bottom w:val="none" w:sz="0" w:space="0" w:color="auto"/>
            <w:right w:val="none" w:sz="0" w:space="0" w:color="auto"/>
          </w:divBdr>
        </w:div>
        <w:div w:id="1213882050">
          <w:marLeft w:val="0"/>
          <w:marRight w:val="0"/>
          <w:marTop w:val="0"/>
          <w:marBottom w:val="0"/>
          <w:divBdr>
            <w:top w:val="none" w:sz="0" w:space="0" w:color="auto"/>
            <w:left w:val="none" w:sz="0" w:space="0" w:color="auto"/>
            <w:bottom w:val="none" w:sz="0" w:space="0" w:color="auto"/>
            <w:right w:val="none" w:sz="0" w:space="0" w:color="auto"/>
          </w:divBdr>
        </w:div>
        <w:div w:id="630326603">
          <w:marLeft w:val="0"/>
          <w:marRight w:val="0"/>
          <w:marTop w:val="0"/>
          <w:marBottom w:val="0"/>
          <w:divBdr>
            <w:top w:val="none" w:sz="0" w:space="0" w:color="auto"/>
            <w:left w:val="none" w:sz="0" w:space="0" w:color="auto"/>
            <w:bottom w:val="none" w:sz="0" w:space="0" w:color="auto"/>
            <w:right w:val="none" w:sz="0" w:space="0" w:color="auto"/>
          </w:divBdr>
        </w:div>
        <w:div w:id="1734354793">
          <w:marLeft w:val="0"/>
          <w:marRight w:val="0"/>
          <w:marTop w:val="0"/>
          <w:marBottom w:val="0"/>
          <w:divBdr>
            <w:top w:val="none" w:sz="0" w:space="0" w:color="auto"/>
            <w:left w:val="none" w:sz="0" w:space="0" w:color="auto"/>
            <w:bottom w:val="none" w:sz="0" w:space="0" w:color="auto"/>
            <w:right w:val="none" w:sz="0" w:space="0" w:color="auto"/>
          </w:divBdr>
        </w:div>
        <w:div w:id="1658461795">
          <w:marLeft w:val="0"/>
          <w:marRight w:val="0"/>
          <w:marTop w:val="0"/>
          <w:marBottom w:val="0"/>
          <w:divBdr>
            <w:top w:val="none" w:sz="0" w:space="0" w:color="auto"/>
            <w:left w:val="none" w:sz="0" w:space="0" w:color="auto"/>
            <w:bottom w:val="none" w:sz="0" w:space="0" w:color="auto"/>
            <w:right w:val="none" w:sz="0" w:space="0" w:color="auto"/>
          </w:divBdr>
        </w:div>
        <w:div w:id="1476485977">
          <w:marLeft w:val="0"/>
          <w:marRight w:val="0"/>
          <w:marTop w:val="0"/>
          <w:marBottom w:val="0"/>
          <w:divBdr>
            <w:top w:val="none" w:sz="0" w:space="0" w:color="auto"/>
            <w:left w:val="none" w:sz="0" w:space="0" w:color="auto"/>
            <w:bottom w:val="none" w:sz="0" w:space="0" w:color="auto"/>
            <w:right w:val="none" w:sz="0" w:space="0" w:color="auto"/>
          </w:divBdr>
        </w:div>
        <w:div w:id="1080255853">
          <w:marLeft w:val="0"/>
          <w:marRight w:val="0"/>
          <w:marTop w:val="0"/>
          <w:marBottom w:val="0"/>
          <w:divBdr>
            <w:top w:val="none" w:sz="0" w:space="0" w:color="auto"/>
            <w:left w:val="none" w:sz="0" w:space="0" w:color="auto"/>
            <w:bottom w:val="none" w:sz="0" w:space="0" w:color="auto"/>
            <w:right w:val="none" w:sz="0" w:space="0" w:color="auto"/>
          </w:divBdr>
        </w:div>
        <w:div w:id="1594775784">
          <w:marLeft w:val="0"/>
          <w:marRight w:val="0"/>
          <w:marTop w:val="0"/>
          <w:marBottom w:val="0"/>
          <w:divBdr>
            <w:top w:val="none" w:sz="0" w:space="0" w:color="auto"/>
            <w:left w:val="none" w:sz="0" w:space="0" w:color="auto"/>
            <w:bottom w:val="none" w:sz="0" w:space="0" w:color="auto"/>
            <w:right w:val="none" w:sz="0" w:space="0" w:color="auto"/>
          </w:divBdr>
        </w:div>
        <w:div w:id="205803303">
          <w:marLeft w:val="0"/>
          <w:marRight w:val="0"/>
          <w:marTop w:val="0"/>
          <w:marBottom w:val="0"/>
          <w:divBdr>
            <w:top w:val="none" w:sz="0" w:space="0" w:color="auto"/>
            <w:left w:val="none" w:sz="0" w:space="0" w:color="auto"/>
            <w:bottom w:val="none" w:sz="0" w:space="0" w:color="auto"/>
            <w:right w:val="none" w:sz="0" w:space="0" w:color="auto"/>
          </w:divBdr>
        </w:div>
        <w:div w:id="865292007">
          <w:marLeft w:val="0"/>
          <w:marRight w:val="0"/>
          <w:marTop w:val="0"/>
          <w:marBottom w:val="0"/>
          <w:divBdr>
            <w:top w:val="none" w:sz="0" w:space="0" w:color="auto"/>
            <w:left w:val="none" w:sz="0" w:space="0" w:color="auto"/>
            <w:bottom w:val="none" w:sz="0" w:space="0" w:color="auto"/>
            <w:right w:val="none" w:sz="0" w:space="0" w:color="auto"/>
          </w:divBdr>
        </w:div>
        <w:div w:id="1048341846">
          <w:marLeft w:val="0"/>
          <w:marRight w:val="0"/>
          <w:marTop w:val="0"/>
          <w:marBottom w:val="0"/>
          <w:divBdr>
            <w:top w:val="none" w:sz="0" w:space="0" w:color="auto"/>
            <w:left w:val="none" w:sz="0" w:space="0" w:color="auto"/>
            <w:bottom w:val="none" w:sz="0" w:space="0" w:color="auto"/>
            <w:right w:val="none" w:sz="0" w:space="0" w:color="auto"/>
          </w:divBdr>
        </w:div>
        <w:div w:id="1900087559">
          <w:marLeft w:val="0"/>
          <w:marRight w:val="0"/>
          <w:marTop w:val="0"/>
          <w:marBottom w:val="0"/>
          <w:divBdr>
            <w:top w:val="none" w:sz="0" w:space="0" w:color="auto"/>
            <w:left w:val="none" w:sz="0" w:space="0" w:color="auto"/>
            <w:bottom w:val="none" w:sz="0" w:space="0" w:color="auto"/>
            <w:right w:val="none" w:sz="0" w:space="0" w:color="auto"/>
          </w:divBdr>
        </w:div>
        <w:div w:id="1827553002">
          <w:marLeft w:val="0"/>
          <w:marRight w:val="0"/>
          <w:marTop w:val="0"/>
          <w:marBottom w:val="0"/>
          <w:divBdr>
            <w:top w:val="none" w:sz="0" w:space="0" w:color="auto"/>
            <w:left w:val="none" w:sz="0" w:space="0" w:color="auto"/>
            <w:bottom w:val="none" w:sz="0" w:space="0" w:color="auto"/>
            <w:right w:val="none" w:sz="0" w:space="0" w:color="auto"/>
          </w:divBdr>
        </w:div>
        <w:div w:id="396559115">
          <w:marLeft w:val="0"/>
          <w:marRight w:val="0"/>
          <w:marTop w:val="0"/>
          <w:marBottom w:val="0"/>
          <w:divBdr>
            <w:top w:val="none" w:sz="0" w:space="0" w:color="auto"/>
            <w:left w:val="none" w:sz="0" w:space="0" w:color="auto"/>
            <w:bottom w:val="none" w:sz="0" w:space="0" w:color="auto"/>
            <w:right w:val="none" w:sz="0" w:space="0" w:color="auto"/>
          </w:divBdr>
        </w:div>
        <w:div w:id="1002393177">
          <w:marLeft w:val="0"/>
          <w:marRight w:val="0"/>
          <w:marTop w:val="0"/>
          <w:marBottom w:val="0"/>
          <w:divBdr>
            <w:top w:val="none" w:sz="0" w:space="0" w:color="auto"/>
            <w:left w:val="none" w:sz="0" w:space="0" w:color="auto"/>
            <w:bottom w:val="none" w:sz="0" w:space="0" w:color="auto"/>
            <w:right w:val="none" w:sz="0" w:space="0" w:color="auto"/>
          </w:divBdr>
        </w:div>
        <w:div w:id="642278585">
          <w:marLeft w:val="0"/>
          <w:marRight w:val="0"/>
          <w:marTop w:val="0"/>
          <w:marBottom w:val="0"/>
          <w:divBdr>
            <w:top w:val="none" w:sz="0" w:space="0" w:color="auto"/>
            <w:left w:val="none" w:sz="0" w:space="0" w:color="auto"/>
            <w:bottom w:val="none" w:sz="0" w:space="0" w:color="auto"/>
            <w:right w:val="none" w:sz="0" w:space="0" w:color="auto"/>
          </w:divBdr>
        </w:div>
        <w:div w:id="1431967320">
          <w:marLeft w:val="0"/>
          <w:marRight w:val="0"/>
          <w:marTop w:val="0"/>
          <w:marBottom w:val="0"/>
          <w:divBdr>
            <w:top w:val="none" w:sz="0" w:space="0" w:color="auto"/>
            <w:left w:val="none" w:sz="0" w:space="0" w:color="auto"/>
            <w:bottom w:val="none" w:sz="0" w:space="0" w:color="auto"/>
            <w:right w:val="none" w:sz="0" w:space="0" w:color="auto"/>
          </w:divBdr>
        </w:div>
        <w:div w:id="1986427008">
          <w:marLeft w:val="0"/>
          <w:marRight w:val="0"/>
          <w:marTop w:val="0"/>
          <w:marBottom w:val="0"/>
          <w:divBdr>
            <w:top w:val="none" w:sz="0" w:space="0" w:color="auto"/>
            <w:left w:val="none" w:sz="0" w:space="0" w:color="auto"/>
            <w:bottom w:val="none" w:sz="0" w:space="0" w:color="auto"/>
            <w:right w:val="none" w:sz="0" w:space="0" w:color="auto"/>
          </w:divBdr>
        </w:div>
        <w:div w:id="441845070">
          <w:marLeft w:val="0"/>
          <w:marRight w:val="0"/>
          <w:marTop w:val="0"/>
          <w:marBottom w:val="0"/>
          <w:divBdr>
            <w:top w:val="none" w:sz="0" w:space="0" w:color="auto"/>
            <w:left w:val="none" w:sz="0" w:space="0" w:color="auto"/>
            <w:bottom w:val="none" w:sz="0" w:space="0" w:color="auto"/>
            <w:right w:val="none" w:sz="0" w:space="0" w:color="auto"/>
          </w:divBdr>
        </w:div>
        <w:div w:id="778722587">
          <w:marLeft w:val="0"/>
          <w:marRight w:val="0"/>
          <w:marTop w:val="0"/>
          <w:marBottom w:val="0"/>
          <w:divBdr>
            <w:top w:val="none" w:sz="0" w:space="0" w:color="auto"/>
            <w:left w:val="none" w:sz="0" w:space="0" w:color="auto"/>
            <w:bottom w:val="none" w:sz="0" w:space="0" w:color="auto"/>
            <w:right w:val="none" w:sz="0" w:space="0" w:color="auto"/>
          </w:divBdr>
        </w:div>
        <w:div w:id="1666275034">
          <w:marLeft w:val="0"/>
          <w:marRight w:val="0"/>
          <w:marTop w:val="0"/>
          <w:marBottom w:val="0"/>
          <w:divBdr>
            <w:top w:val="none" w:sz="0" w:space="0" w:color="auto"/>
            <w:left w:val="none" w:sz="0" w:space="0" w:color="auto"/>
            <w:bottom w:val="none" w:sz="0" w:space="0" w:color="auto"/>
            <w:right w:val="none" w:sz="0" w:space="0" w:color="auto"/>
          </w:divBdr>
        </w:div>
        <w:div w:id="2060861085">
          <w:marLeft w:val="0"/>
          <w:marRight w:val="0"/>
          <w:marTop w:val="0"/>
          <w:marBottom w:val="0"/>
          <w:divBdr>
            <w:top w:val="none" w:sz="0" w:space="0" w:color="auto"/>
            <w:left w:val="none" w:sz="0" w:space="0" w:color="auto"/>
            <w:bottom w:val="none" w:sz="0" w:space="0" w:color="auto"/>
            <w:right w:val="none" w:sz="0" w:space="0" w:color="auto"/>
          </w:divBdr>
        </w:div>
        <w:div w:id="1259561599">
          <w:marLeft w:val="0"/>
          <w:marRight w:val="0"/>
          <w:marTop w:val="0"/>
          <w:marBottom w:val="0"/>
          <w:divBdr>
            <w:top w:val="none" w:sz="0" w:space="0" w:color="auto"/>
            <w:left w:val="none" w:sz="0" w:space="0" w:color="auto"/>
            <w:bottom w:val="none" w:sz="0" w:space="0" w:color="auto"/>
            <w:right w:val="none" w:sz="0" w:space="0" w:color="auto"/>
          </w:divBdr>
        </w:div>
        <w:div w:id="2097440255">
          <w:marLeft w:val="0"/>
          <w:marRight w:val="0"/>
          <w:marTop w:val="0"/>
          <w:marBottom w:val="0"/>
          <w:divBdr>
            <w:top w:val="none" w:sz="0" w:space="0" w:color="auto"/>
            <w:left w:val="none" w:sz="0" w:space="0" w:color="auto"/>
            <w:bottom w:val="none" w:sz="0" w:space="0" w:color="auto"/>
            <w:right w:val="none" w:sz="0" w:space="0" w:color="auto"/>
          </w:divBdr>
        </w:div>
        <w:div w:id="631911865">
          <w:marLeft w:val="0"/>
          <w:marRight w:val="0"/>
          <w:marTop w:val="0"/>
          <w:marBottom w:val="0"/>
          <w:divBdr>
            <w:top w:val="none" w:sz="0" w:space="0" w:color="auto"/>
            <w:left w:val="none" w:sz="0" w:space="0" w:color="auto"/>
            <w:bottom w:val="none" w:sz="0" w:space="0" w:color="auto"/>
            <w:right w:val="none" w:sz="0" w:space="0" w:color="auto"/>
          </w:divBdr>
        </w:div>
        <w:div w:id="441464482">
          <w:marLeft w:val="0"/>
          <w:marRight w:val="0"/>
          <w:marTop w:val="0"/>
          <w:marBottom w:val="0"/>
          <w:divBdr>
            <w:top w:val="none" w:sz="0" w:space="0" w:color="auto"/>
            <w:left w:val="none" w:sz="0" w:space="0" w:color="auto"/>
            <w:bottom w:val="none" w:sz="0" w:space="0" w:color="auto"/>
            <w:right w:val="none" w:sz="0" w:space="0" w:color="auto"/>
          </w:divBdr>
        </w:div>
        <w:div w:id="659500124">
          <w:marLeft w:val="0"/>
          <w:marRight w:val="0"/>
          <w:marTop w:val="0"/>
          <w:marBottom w:val="0"/>
          <w:divBdr>
            <w:top w:val="none" w:sz="0" w:space="0" w:color="auto"/>
            <w:left w:val="none" w:sz="0" w:space="0" w:color="auto"/>
            <w:bottom w:val="none" w:sz="0" w:space="0" w:color="auto"/>
            <w:right w:val="none" w:sz="0" w:space="0" w:color="auto"/>
          </w:divBdr>
        </w:div>
        <w:div w:id="511453773">
          <w:marLeft w:val="0"/>
          <w:marRight w:val="0"/>
          <w:marTop w:val="0"/>
          <w:marBottom w:val="0"/>
          <w:divBdr>
            <w:top w:val="none" w:sz="0" w:space="0" w:color="auto"/>
            <w:left w:val="none" w:sz="0" w:space="0" w:color="auto"/>
            <w:bottom w:val="none" w:sz="0" w:space="0" w:color="auto"/>
            <w:right w:val="none" w:sz="0" w:space="0" w:color="auto"/>
          </w:divBdr>
        </w:div>
        <w:div w:id="1236282045">
          <w:marLeft w:val="0"/>
          <w:marRight w:val="0"/>
          <w:marTop w:val="0"/>
          <w:marBottom w:val="0"/>
          <w:divBdr>
            <w:top w:val="none" w:sz="0" w:space="0" w:color="auto"/>
            <w:left w:val="none" w:sz="0" w:space="0" w:color="auto"/>
            <w:bottom w:val="none" w:sz="0" w:space="0" w:color="auto"/>
            <w:right w:val="none" w:sz="0" w:space="0" w:color="auto"/>
          </w:divBdr>
        </w:div>
        <w:div w:id="1725719150">
          <w:marLeft w:val="0"/>
          <w:marRight w:val="0"/>
          <w:marTop w:val="0"/>
          <w:marBottom w:val="0"/>
          <w:divBdr>
            <w:top w:val="none" w:sz="0" w:space="0" w:color="auto"/>
            <w:left w:val="none" w:sz="0" w:space="0" w:color="auto"/>
            <w:bottom w:val="none" w:sz="0" w:space="0" w:color="auto"/>
            <w:right w:val="none" w:sz="0" w:space="0" w:color="auto"/>
          </w:divBdr>
        </w:div>
        <w:div w:id="1312758381">
          <w:marLeft w:val="0"/>
          <w:marRight w:val="0"/>
          <w:marTop w:val="0"/>
          <w:marBottom w:val="0"/>
          <w:divBdr>
            <w:top w:val="none" w:sz="0" w:space="0" w:color="auto"/>
            <w:left w:val="none" w:sz="0" w:space="0" w:color="auto"/>
            <w:bottom w:val="none" w:sz="0" w:space="0" w:color="auto"/>
            <w:right w:val="none" w:sz="0" w:space="0" w:color="auto"/>
          </w:divBdr>
        </w:div>
        <w:div w:id="1053240231">
          <w:marLeft w:val="0"/>
          <w:marRight w:val="0"/>
          <w:marTop w:val="0"/>
          <w:marBottom w:val="0"/>
          <w:divBdr>
            <w:top w:val="none" w:sz="0" w:space="0" w:color="auto"/>
            <w:left w:val="none" w:sz="0" w:space="0" w:color="auto"/>
            <w:bottom w:val="none" w:sz="0" w:space="0" w:color="auto"/>
            <w:right w:val="none" w:sz="0" w:space="0" w:color="auto"/>
          </w:divBdr>
        </w:div>
        <w:div w:id="53899314">
          <w:marLeft w:val="0"/>
          <w:marRight w:val="0"/>
          <w:marTop w:val="0"/>
          <w:marBottom w:val="0"/>
          <w:divBdr>
            <w:top w:val="none" w:sz="0" w:space="0" w:color="auto"/>
            <w:left w:val="none" w:sz="0" w:space="0" w:color="auto"/>
            <w:bottom w:val="none" w:sz="0" w:space="0" w:color="auto"/>
            <w:right w:val="none" w:sz="0" w:space="0" w:color="auto"/>
          </w:divBdr>
        </w:div>
        <w:div w:id="1028532133">
          <w:marLeft w:val="0"/>
          <w:marRight w:val="0"/>
          <w:marTop w:val="0"/>
          <w:marBottom w:val="0"/>
          <w:divBdr>
            <w:top w:val="none" w:sz="0" w:space="0" w:color="auto"/>
            <w:left w:val="none" w:sz="0" w:space="0" w:color="auto"/>
            <w:bottom w:val="none" w:sz="0" w:space="0" w:color="auto"/>
            <w:right w:val="none" w:sz="0" w:space="0" w:color="auto"/>
          </w:divBdr>
        </w:div>
        <w:div w:id="1428186513">
          <w:marLeft w:val="0"/>
          <w:marRight w:val="0"/>
          <w:marTop w:val="0"/>
          <w:marBottom w:val="0"/>
          <w:divBdr>
            <w:top w:val="none" w:sz="0" w:space="0" w:color="auto"/>
            <w:left w:val="none" w:sz="0" w:space="0" w:color="auto"/>
            <w:bottom w:val="none" w:sz="0" w:space="0" w:color="auto"/>
            <w:right w:val="none" w:sz="0" w:space="0" w:color="auto"/>
          </w:divBdr>
        </w:div>
        <w:div w:id="339428155">
          <w:marLeft w:val="0"/>
          <w:marRight w:val="0"/>
          <w:marTop w:val="0"/>
          <w:marBottom w:val="0"/>
          <w:divBdr>
            <w:top w:val="none" w:sz="0" w:space="0" w:color="auto"/>
            <w:left w:val="none" w:sz="0" w:space="0" w:color="auto"/>
            <w:bottom w:val="none" w:sz="0" w:space="0" w:color="auto"/>
            <w:right w:val="none" w:sz="0" w:space="0" w:color="auto"/>
          </w:divBdr>
        </w:div>
        <w:div w:id="720592216">
          <w:marLeft w:val="0"/>
          <w:marRight w:val="0"/>
          <w:marTop w:val="0"/>
          <w:marBottom w:val="0"/>
          <w:divBdr>
            <w:top w:val="none" w:sz="0" w:space="0" w:color="auto"/>
            <w:left w:val="none" w:sz="0" w:space="0" w:color="auto"/>
            <w:bottom w:val="none" w:sz="0" w:space="0" w:color="auto"/>
            <w:right w:val="none" w:sz="0" w:space="0" w:color="auto"/>
          </w:divBdr>
        </w:div>
        <w:div w:id="753167717">
          <w:marLeft w:val="0"/>
          <w:marRight w:val="0"/>
          <w:marTop w:val="0"/>
          <w:marBottom w:val="0"/>
          <w:divBdr>
            <w:top w:val="none" w:sz="0" w:space="0" w:color="auto"/>
            <w:left w:val="none" w:sz="0" w:space="0" w:color="auto"/>
            <w:bottom w:val="none" w:sz="0" w:space="0" w:color="auto"/>
            <w:right w:val="none" w:sz="0" w:space="0" w:color="auto"/>
          </w:divBdr>
        </w:div>
        <w:div w:id="1544514969">
          <w:marLeft w:val="0"/>
          <w:marRight w:val="0"/>
          <w:marTop w:val="0"/>
          <w:marBottom w:val="0"/>
          <w:divBdr>
            <w:top w:val="none" w:sz="0" w:space="0" w:color="auto"/>
            <w:left w:val="none" w:sz="0" w:space="0" w:color="auto"/>
            <w:bottom w:val="none" w:sz="0" w:space="0" w:color="auto"/>
            <w:right w:val="none" w:sz="0" w:space="0" w:color="auto"/>
          </w:divBdr>
        </w:div>
        <w:div w:id="1901749986">
          <w:marLeft w:val="0"/>
          <w:marRight w:val="0"/>
          <w:marTop w:val="0"/>
          <w:marBottom w:val="0"/>
          <w:divBdr>
            <w:top w:val="none" w:sz="0" w:space="0" w:color="auto"/>
            <w:left w:val="none" w:sz="0" w:space="0" w:color="auto"/>
            <w:bottom w:val="none" w:sz="0" w:space="0" w:color="auto"/>
            <w:right w:val="none" w:sz="0" w:space="0" w:color="auto"/>
          </w:divBdr>
        </w:div>
        <w:div w:id="1830974121">
          <w:marLeft w:val="0"/>
          <w:marRight w:val="0"/>
          <w:marTop w:val="0"/>
          <w:marBottom w:val="0"/>
          <w:divBdr>
            <w:top w:val="none" w:sz="0" w:space="0" w:color="auto"/>
            <w:left w:val="none" w:sz="0" w:space="0" w:color="auto"/>
            <w:bottom w:val="none" w:sz="0" w:space="0" w:color="auto"/>
            <w:right w:val="none" w:sz="0" w:space="0" w:color="auto"/>
          </w:divBdr>
        </w:div>
        <w:div w:id="1619483304">
          <w:marLeft w:val="0"/>
          <w:marRight w:val="0"/>
          <w:marTop w:val="0"/>
          <w:marBottom w:val="0"/>
          <w:divBdr>
            <w:top w:val="none" w:sz="0" w:space="0" w:color="auto"/>
            <w:left w:val="none" w:sz="0" w:space="0" w:color="auto"/>
            <w:bottom w:val="none" w:sz="0" w:space="0" w:color="auto"/>
            <w:right w:val="none" w:sz="0" w:space="0" w:color="auto"/>
          </w:divBdr>
        </w:div>
        <w:div w:id="1650093315">
          <w:marLeft w:val="0"/>
          <w:marRight w:val="0"/>
          <w:marTop w:val="0"/>
          <w:marBottom w:val="0"/>
          <w:divBdr>
            <w:top w:val="none" w:sz="0" w:space="0" w:color="auto"/>
            <w:left w:val="none" w:sz="0" w:space="0" w:color="auto"/>
            <w:bottom w:val="none" w:sz="0" w:space="0" w:color="auto"/>
            <w:right w:val="none" w:sz="0" w:space="0" w:color="auto"/>
          </w:divBdr>
        </w:div>
        <w:div w:id="602617238">
          <w:marLeft w:val="0"/>
          <w:marRight w:val="0"/>
          <w:marTop w:val="0"/>
          <w:marBottom w:val="0"/>
          <w:divBdr>
            <w:top w:val="none" w:sz="0" w:space="0" w:color="auto"/>
            <w:left w:val="none" w:sz="0" w:space="0" w:color="auto"/>
            <w:bottom w:val="none" w:sz="0" w:space="0" w:color="auto"/>
            <w:right w:val="none" w:sz="0" w:space="0" w:color="auto"/>
          </w:divBdr>
        </w:div>
        <w:div w:id="1624538135">
          <w:marLeft w:val="0"/>
          <w:marRight w:val="0"/>
          <w:marTop w:val="0"/>
          <w:marBottom w:val="0"/>
          <w:divBdr>
            <w:top w:val="none" w:sz="0" w:space="0" w:color="auto"/>
            <w:left w:val="none" w:sz="0" w:space="0" w:color="auto"/>
            <w:bottom w:val="none" w:sz="0" w:space="0" w:color="auto"/>
            <w:right w:val="none" w:sz="0" w:space="0" w:color="auto"/>
          </w:divBdr>
        </w:div>
        <w:div w:id="107892968">
          <w:marLeft w:val="0"/>
          <w:marRight w:val="0"/>
          <w:marTop w:val="0"/>
          <w:marBottom w:val="0"/>
          <w:divBdr>
            <w:top w:val="none" w:sz="0" w:space="0" w:color="auto"/>
            <w:left w:val="none" w:sz="0" w:space="0" w:color="auto"/>
            <w:bottom w:val="none" w:sz="0" w:space="0" w:color="auto"/>
            <w:right w:val="none" w:sz="0" w:space="0" w:color="auto"/>
          </w:divBdr>
        </w:div>
        <w:div w:id="57945204">
          <w:marLeft w:val="0"/>
          <w:marRight w:val="0"/>
          <w:marTop w:val="0"/>
          <w:marBottom w:val="0"/>
          <w:divBdr>
            <w:top w:val="none" w:sz="0" w:space="0" w:color="auto"/>
            <w:left w:val="none" w:sz="0" w:space="0" w:color="auto"/>
            <w:bottom w:val="none" w:sz="0" w:space="0" w:color="auto"/>
            <w:right w:val="none" w:sz="0" w:space="0" w:color="auto"/>
          </w:divBdr>
        </w:div>
        <w:div w:id="337394569">
          <w:marLeft w:val="0"/>
          <w:marRight w:val="0"/>
          <w:marTop w:val="0"/>
          <w:marBottom w:val="0"/>
          <w:divBdr>
            <w:top w:val="none" w:sz="0" w:space="0" w:color="auto"/>
            <w:left w:val="none" w:sz="0" w:space="0" w:color="auto"/>
            <w:bottom w:val="none" w:sz="0" w:space="0" w:color="auto"/>
            <w:right w:val="none" w:sz="0" w:space="0" w:color="auto"/>
          </w:divBdr>
        </w:div>
        <w:div w:id="1101802767">
          <w:marLeft w:val="0"/>
          <w:marRight w:val="0"/>
          <w:marTop w:val="0"/>
          <w:marBottom w:val="0"/>
          <w:divBdr>
            <w:top w:val="none" w:sz="0" w:space="0" w:color="auto"/>
            <w:left w:val="none" w:sz="0" w:space="0" w:color="auto"/>
            <w:bottom w:val="none" w:sz="0" w:space="0" w:color="auto"/>
            <w:right w:val="none" w:sz="0" w:space="0" w:color="auto"/>
          </w:divBdr>
        </w:div>
        <w:div w:id="580062728">
          <w:marLeft w:val="0"/>
          <w:marRight w:val="0"/>
          <w:marTop w:val="0"/>
          <w:marBottom w:val="0"/>
          <w:divBdr>
            <w:top w:val="none" w:sz="0" w:space="0" w:color="auto"/>
            <w:left w:val="none" w:sz="0" w:space="0" w:color="auto"/>
            <w:bottom w:val="none" w:sz="0" w:space="0" w:color="auto"/>
            <w:right w:val="none" w:sz="0" w:space="0" w:color="auto"/>
          </w:divBdr>
        </w:div>
        <w:div w:id="1169910269">
          <w:marLeft w:val="0"/>
          <w:marRight w:val="0"/>
          <w:marTop w:val="0"/>
          <w:marBottom w:val="0"/>
          <w:divBdr>
            <w:top w:val="none" w:sz="0" w:space="0" w:color="auto"/>
            <w:left w:val="none" w:sz="0" w:space="0" w:color="auto"/>
            <w:bottom w:val="none" w:sz="0" w:space="0" w:color="auto"/>
            <w:right w:val="none" w:sz="0" w:space="0" w:color="auto"/>
          </w:divBdr>
        </w:div>
        <w:div w:id="2089232253">
          <w:marLeft w:val="0"/>
          <w:marRight w:val="0"/>
          <w:marTop w:val="0"/>
          <w:marBottom w:val="0"/>
          <w:divBdr>
            <w:top w:val="none" w:sz="0" w:space="0" w:color="auto"/>
            <w:left w:val="none" w:sz="0" w:space="0" w:color="auto"/>
            <w:bottom w:val="none" w:sz="0" w:space="0" w:color="auto"/>
            <w:right w:val="none" w:sz="0" w:space="0" w:color="auto"/>
          </w:divBdr>
        </w:div>
        <w:div w:id="1157721506">
          <w:marLeft w:val="0"/>
          <w:marRight w:val="0"/>
          <w:marTop w:val="0"/>
          <w:marBottom w:val="0"/>
          <w:divBdr>
            <w:top w:val="none" w:sz="0" w:space="0" w:color="auto"/>
            <w:left w:val="none" w:sz="0" w:space="0" w:color="auto"/>
            <w:bottom w:val="none" w:sz="0" w:space="0" w:color="auto"/>
            <w:right w:val="none" w:sz="0" w:space="0" w:color="auto"/>
          </w:divBdr>
        </w:div>
        <w:div w:id="1453744850">
          <w:marLeft w:val="0"/>
          <w:marRight w:val="0"/>
          <w:marTop w:val="0"/>
          <w:marBottom w:val="0"/>
          <w:divBdr>
            <w:top w:val="none" w:sz="0" w:space="0" w:color="auto"/>
            <w:left w:val="none" w:sz="0" w:space="0" w:color="auto"/>
            <w:bottom w:val="none" w:sz="0" w:space="0" w:color="auto"/>
            <w:right w:val="none" w:sz="0" w:space="0" w:color="auto"/>
          </w:divBdr>
        </w:div>
        <w:div w:id="25983295">
          <w:marLeft w:val="0"/>
          <w:marRight w:val="0"/>
          <w:marTop w:val="0"/>
          <w:marBottom w:val="0"/>
          <w:divBdr>
            <w:top w:val="none" w:sz="0" w:space="0" w:color="auto"/>
            <w:left w:val="none" w:sz="0" w:space="0" w:color="auto"/>
            <w:bottom w:val="none" w:sz="0" w:space="0" w:color="auto"/>
            <w:right w:val="none" w:sz="0" w:space="0" w:color="auto"/>
          </w:divBdr>
        </w:div>
        <w:div w:id="757943857">
          <w:marLeft w:val="0"/>
          <w:marRight w:val="0"/>
          <w:marTop w:val="0"/>
          <w:marBottom w:val="0"/>
          <w:divBdr>
            <w:top w:val="none" w:sz="0" w:space="0" w:color="auto"/>
            <w:left w:val="none" w:sz="0" w:space="0" w:color="auto"/>
            <w:bottom w:val="none" w:sz="0" w:space="0" w:color="auto"/>
            <w:right w:val="none" w:sz="0" w:space="0" w:color="auto"/>
          </w:divBdr>
        </w:div>
        <w:div w:id="326591572">
          <w:marLeft w:val="0"/>
          <w:marRight w:val="0"/>
          <w:marTop w:val="0"/>
          <w:marBottom w:val="0"/>
          <w:divBdr>
            <w:top w:val="none" w:sz="0" w:space="0" w:color="auto"/>
            <w:left w:val="none" w:sz="0" w:space="0" w:color="auto"/>
            <w:bottom w:val="none" w:sz="0" w:space="0" w:color="auto"/>
            <w:right w:val="none" w:sz="0" w:space="0" w:color="auto"/>
          </w:divBdr>
        </w:div>
        <w:div w:id="2070302194">
          <w:marLeft w:val="0"/>
          <w:marRight w:val="0"/>
          <w:marTop w:val="0"/>
          <w:marBottom w:val="0"/>
          <w:divBdr>
            <w:top w:val="none" w:sz="0" w:space="0" w:color="auto"/>
            <w:left w:val="none" w:sz="0" w:space="0" w:color="auto"/>
            <w:bottom w:val="none" w:sz="0" w:space="0" w:color="auto"/>
            <w:right w:val="none" w:sz="0" w:space="0" w:color="auto"/>
          </w:divBdr>
        </w:div>
        <w:div w:id="43455135">
          <w:marLeft w:val="0"/>
          <w:marRight w:val="0"/>
          <w:marTop w:val="0"/>
          <w:marBottom w:val="0"/>
          <w:divBdr>
            <w:top w:val="none" w:sz="0" w:space="0" w:color="auto"/>
            <w:left w:val="none" w:sz="0" w:space="0" w:color="auto"/>
            <w:bottom w:val="none" w:sz="0" w:space="0" w:color="auto"/>
            <w:right w:val="none" w:sz="0" w:space="0" w:color="auto"/>
          </w:divBdr>
        </w:div>
        <w:div w:id="599752420">
          <w:marLeft w:val="0"/>
          <w:marRight w:val="0"/>
          <w:marTop w:val="0"/>
          <w:marBottom w:val="0"/>
          <w:divBdr>
            <w:top w:val="none" w:sz="0" w:space="0" w:color="auto"/>
            <w:left w:val="none" w:sz="0" w:space="0" w:color="auto"/>
            <w:bottom w:val="none" w:sz="0" w:space="0" w:color="auto"/>
            <w:right w:val="none" w:sz="0" w:space="0" w:color="auto"/>
          </w:divBdr>
        </w:div>
        <w:div w:id="1614747205">
          <w:marLeft w:val="0"/>
          <w:marRight w:val="0"/>
          <w:marTop w:val="0"/>
          <w:marBottom w:val="0"/>
          <w:divBdr>
            <w:top w:val="none" w:sz="0" w:space="0" w:color="auto"/>
            <w:left w:val="none" w:sz="0" w:space="0" w:color="auto"/>
            <w:bottom w:val="none" w:sz="0" w:space="0" w:color="auto"/>
            <w:right w:val="none" w:sz="0" w:space="0" w:color="auto"/>
          </w:divBdr>
        </w:div>
        <w:div w:id="1584416343">
          <w:marLeft w:val="0"/>
          <w:marRight w:val="0"/>
          <w:marTop w:val="0"/>
          <w:marBottom w:val="0"/>
          <w:divBdr>
            <w:top w:val="none" w:sz="0" w:space="0" w:color="auto"/>
            <w:left w:val="none" w:sz="0" w:space="0" w:color="auto"/>
            <w:bottom w:val="none" w:sz="0" w:space="0" w:color="auto"/>
            <w:right w:val="none" w:sz="0" w:space="0" w:color="auto"/>
          </w:divBdr>
        </w:div>
        <w:div w:id="36049907">
          <w:marLeft w:val="0"/>
          <w:marRight w:val="0"/>
          <w:marTop w:val="0"/>
          <w:marBottom w:val="0"/>
          <w:divBdr>
            <w:top w:val="none" w:sz="0" w:space="0" w:color="auto"/>
            <w:left w:val="none" w:sz="0" w:space="0" w:color="auto"/>
            <w:bottom w:val="none" w:sz="0" w:space="0" w:color="auto"/>
            <w:right w:val="none" w:sz="0" w:space="0" w:color="auto"/>
          </w:divBdr>
        </w:div>
        <w:div w:id="1793591231">
          <w:marLeft w:val="0"/>
          <w:marRight w:val="0"/>
          <w:marTop w:val="0"/>
          <w:marBottom w:val="0"/>
          <w:divBdr>
            <w:top w:val="none" w:sz="0" w:space="0" w:color="auto"/>
            <w:left w:val="none" w:sz="0" w:space="0" w:color="auto"/>
            <w:bottom w:val="none" w:sz="0" w:space="0" w:color="auto"/>
            <w:right w:val="none" w:sz="0" w:space="0" w:color="auto"/>
          </w:divBdr>
        </w:div>
        <w:div w:id="1090585672">
          <w:marLeft w:val="0"/>
          <w:marRight w:val="0"/>
          <w:marTop w:val="0"/>
          <w:marBottom w:val="0"/>
          <w:divBdr>
            <w:top w:val="none" w:sz="0" w:space="0" w:color="auto"/>
            <w:left w:val="none" w:sz="0" w:space="0" w:color="auto"/>
            <w:bottom w:val="none" w:sz="0" w:space="0" w:color="auto"/>
            <w:right w:val="none" w:sz="0" w:space="0" w:color="auto"/>
          </w:divBdr>
        </w:div>
        <w:div w:id="108664874">
          <w:marLeft w:val="0"/>
          <w:marRight w:val="0"/>
          <w:marTop w:val="0"/>
          <w:marBottom w:val="0"/>
          <w:divBdr>
            <w:top w:val="none" w:sz="0" w:space="0" w:color="auto"/>
            <w:left w:val="none" w:sz="0" w:space="0" w:color="auto"/>
            <w:bottom w:val="none" w:sz="0" w:space="0" w:color="auto"/>
            <w:right w:val="none" w:sz="0" w:space="0" w:color="auto"/>
          </w:divBdr>
        </w:div>
        <w:div w:id="1835602659">
          <w:marLeft w:val="0"/>
          <w:marRight w:val="0"/>
          <w:marTop w:val="0"/>
          <w:marBottom w:val="0"/>
          <w:divBdr>
            <w:top w:val="none" w:sz="0" w:space="0" w:color="auto"/>
            <w:left w:val="none" w:sz="0" w:space="0" w:color="auto"/>
            <w:bottom w:val="none" w:sz="0" w:space="0" w:color="auto"/>
            <w:right w:val="none" w:sz="0" w:space="0" w:color="auto"/>
          </w:divBdr>
        </w:div>
        <w:div w:id="878861586">
          <w:marLeft w:val="0"/>
          <w:marRight w:val="0"/>
          <w:marTop w:val="0"/>
          <w:marBottom w:val="0"/>
          <w:divBdr>
            <w:top w:val="none" w:sz="0" w:space="0" w:color="auto"/>
            <w:left w:val="none" w:sz="0" w:space="0" w:color="auto"/>
            <w:bottom w:val="none" w:sz="0" w:space="0" w:color="auto"/>
            <w:right w:val="none" w:sz="0" w:space="0" w:color="auto"/>
          </w:divBdr>
        </w:div>
        <w:div w:id="1784499729">
          <w:marLeft w:val="0"/>
          <w:marRight w:val="0"/>
          <w:marTop w:val="0"/>
          <w:marBottom w:val="0"/>
          <w:divBdr>
            <w:top w:val="none" w:sz="0" w:space="0" w:color="auto"/>
            <w:left w:val="none" w:sz="0" w:space="0" w:color="auto"/>
            <w:bottom w:val="none" w:sz="0" w:space="0" w:color="auto"/>
            <w:right w:val="none" w:sz="0" w:space="0" w:color="auto"/>
          </w:divBdr>
        </w:div>
        <w:div w:id="959530501">
          <w:marLeft w:val="0"/>
          <w:marRight w:val="0"/>
          <w:marTop w:val="0"/>
          <w:marBottom w:val="0"/>
          <w:divBdr>
            <w:top w:val="none" w:sz="0" w:space="0" w:color="auto"/>
            <w:left w:val="none" w:sz="0" w:space="0" w:color="auto"/>
            <w:bottom w:val="none" w:sz="0" w:space="0" w:color="auto"/>
            <w:right w:val="none" w:sz="0" w:space="0" w:color="auto"/>
          </w:divBdr>
        </w:div>
        <w:div w:id="859388982">
          <w:marLeft w:val="0"/>
          <w:marRight w:val="0"/>
          <w:marTop w:val="0"/>
          <w:marBottom w:val="0"/>
          <w:divBdr>
            <w:top w:val="none" w:sz="0" w:space="0" w:color="auto"/>
            <w:left w:val="none" w:sz="0" w:space="0" w:color="auto"/>
            <w:bottom w:val="none" w:sz="0" w:space="0" w:color="auto"/>
            <w:right w:val="none" w:sz="0" w:space="0" w:color="auto"/>
          </w:divBdr>
        </w:div>
        <w:div w:id="890851377">
          <w:marLeft w:val="0"/>
          <w:marRight w:val="0"/>
          <w:marTop w:val="0"/>
          <w:marBottom w:val="0"/>
          <w:divBdr>
            <w:top w:val="none" w:sz="0" w:space="0" w:color="auto"/>
            <w:left w:val="none" w:sz="0" w:space="0" w:color="auto"/>
            <w:bottom w:val="none" w:sz="0" w:space="0" w:color="auto"/>
            <w:right w:val="none" w:sz="0" w:space="0" w:color="auto"/>
          </w:divBdr>
        </w:div>
        <w:div w:id="490372169">
          <w:marLeft w:val="0"/>
          <w:marRight w:val="0"/>
          <w:marTop w:val="0"/>
          <w:marBottom w:val="0"/>
          <w:divBdr>
            <w:top w:val="none" w:sz="0" w:space="0" w:color="auto"/>
            <w:left w:val="none" w:sz="0" w:space="0" w:color="auto"/>
            <w:bottom w:val="none" w:sz="0" w:space="0" w:color="auto"/>
            <w:right w:val="none" w:sz="0" w:space="0" w:color="auto"/>
          </w:divBdr>
        </w:div>
        <w:div w:id="335230112">
          <w:marLeft w:val="0"/>
          <w:marRight w:val="0"/>
          <w:marTop w:val="0"/>
          <w:marBottom w:val="0"/>
          <w:divBdr>
            <w:top w:val="none" w:sz="0" w:space="0" w:color="auto"/>
            <w:left w:val="none" w:sz="0" w:space="0" w:color="auto"/>
            <w:bottom w:val="none" w:sz="0" w:space="0" w:color="auto"/>
            <w:right w:val="none" w:sz="0" w:space="0" w:color="auto"/>
          </w:divBdr>
        </w:div>
        <w:div w:id="1146552496">
          <w:marLeft w:val="0"/>
          <w:marRight w:val="0"/>
          <w:marTop w:val="0"/>
          <w:marBottom w:val="0"/>
          <w:divBdr>
            <w:top w:val="none" w:sz="0" w:space="0" w:color="auto"/>
            <w:left w:val="none" w:sz="0" w:space="0" w:color="auto"/>
            <w:bottom w:val="none" w:sz="0" w:space="0" w:color="auto"/>
            <w:right w:val="none" w:sz="0" w:space="0" w:color="auto"/>
          </w:divBdr>
        </w:div>
        <w:div w:id="2085174564">
          <w:marLeft w:val="0"/>
          <w:marRight w:val="0"/>
          <w:marTop w:val="0"/>
          <w:marBottom w:val="0"/>
          <w:divBdr>
            <w:top w:val="none" w:sz="0" w:space="0" w:color="auto"/>
            <w:left w:val="none" w:sz="0" w:space="0" w:color="auto"/>
            <w:bottom w:val="none" w:sz="0" w:space="0" w:color="auto"/>
            <w:right w:val="none" w:sz="0" w:space="0" w:color="auto"/>
          </w:divBdr>
        </w:div>
        <w:div w:id="1430278117">
          <w:marLeft w:val="0"/>
          <w:marRight w:val="0"/>
          <w:marTop w:val="0"/>
          <w:marBottom w:val="0"/>
          <w:divBdr>
            <w:top w:val="none" w:sz="0" w:space="0" w:color="auto"/>
            <w:left w:val="none" w:sz="0" w:space="0" w:color="auto"/>
            <w:bottom w:val="none" w:sz="0" w:space="0" w:color="auto"/>
            <w:right w:val="none" w:sz="0" w:space="0" w:color="auto"/>
          </w:divBdr>
        </w:div>
        <w:div w:id="1279068716">
          <w:marLeft w:val="0"/>
          <w:marRight w:val="0"/>
          <w:marTop w:val="0"/>
          <w:marBottom w:val="0"/>
          <w:divBdr>
            <w:top w:val="none" w:sz="0" w:space="0" w:color="auto"/>
            <w:left w:val="none" w:sz="0" w:space="0" w:color="auto"/>
            <w:bottom w:val="none" w:sz="0" w:space="0" w:color="auto"/>
            <w:right w:val="none" w:sz="0" w:space="0" w:color="auto"/>
          </w:divBdr>
        </w:div>
        <w:div w:id="1663587180">
          <w:marLeft w:val="0"/>
          <w:marRight w:val="0"/>
          <w:marTop w:val="0"/>
          <w:marBottom w:val="0"/>
          <w:divBdr>
            <w:top w:val="none" w:sz="0" w:space="0" w:color="auto"/>
            <w:left w:val="none" w:sz="0" w:space="0" w:color="auto"/>
            <w:bottom w:val="none" w:sz="0" w:space="0" w:color="auto"/>
            <w:right w:val="none" w:sz="0" w:space="0" w:color="auto"/>
          </w:divBdr>
        </w:div>
        <w:div w:id="543518979">
          <w:marLeft w:val="0"/>
          <w:marRight w:val="0"/>
          <w:marTop w:val="0"/>
          <w:marBottom w:val="0"/>
          <w:divBdr>
            <w:top w:val="none" w:sz="0" w:space="0" w:color="auto"/>
            <w:left w:val="none" w:sz="0" w:space="0" w:color="auto"/>
            <w:bottom w:val="none" w:sz="0" w:space="0" w:color="auto"/>
            <w:right w:val="none" w:sz="0" w:space="0" w:color="auto"/>
          </w:divBdr>
        </w:div>
        <w:div w:id="2007853477">
          <w:marLeft w:val="0"/>
          <w:marRight w:val="0"/>
          <w:marTop w:val="0"/>
          <w:marBottom w:val="0"/>
          <w:divBdr>
            <w:top w:val="none" w:sz="0" w:space="0" w:color="auto"/>
            <w:left w:val="none" w:sz="0" w:space="0" w:color="auto"/>
            <w:bottom w:val="none" w:sz="0" w:space="0" w:color="auto"/>
            <w:right w:val="none" w:sz="0" w:space="0" w:color="auto"/>
          </w:divBdr>
        </w:div>
        <w:div w:id="2101950996">
          <w:marLeft w:val="0"/>
          <w:marRight w:val="0"/>
          <w:marTop w:val="0"/>
          <w:marBottom w:val="0"/>
          <w:divBdr>
            <w:top w:val="none" w:sz="0" w:space="0" w:color="auto"/>
            <w:left w:val="none" w:sz="0" w:space="0" w:color="auto"/>
            <w:bottom w:val="none" w:sz="0" w:space="0" w:color="auto"/>
            <w:right w:val="none" w:sz="0" w:space="0" w:color="auto"/>
          </w:divBdr>
        </w:div>
        <w:div w:id="1741513565">
          <w:marLeft w:val="0"/>
          <w:marRight w:val="0"/>
          <w:marTop w:val="0"/>
          <w:marBottom w:val="0"/>
          <w:divBdr>
            <w:top w:val="none" w:sz="0" w:space="0" w:color="auto"/>
            <w:left w:val="none" w:sz="0" w:space="0" w:color="auto"/>
            <w:bottom w:val="none" w:sz="0" w:space="0" w:color="auto"/>
            <w:right w:val="none" w:sz="0" w:space="0" w:color="auto"/>
          </w:divBdr>
        </w:div>
        <w:div w:id="1090584985">
          <w:marLeft w:val="0"/>
          <w:marRight w:val="0"/>
          <w:marTop w:val="0"/>
          <w:marBottom w:val="0"/>
          <w:divBdr>
            <w:top w:val="none" w:sz="0" w:space="0" w:color="auto"/>
            <w:left w:val="none" w:sz="0" w:space="0" w:color="auto"/>
            <w:bottom w:val="none" w:sz="0" w:space="0" w:color="auto"/>
            <w:right w:val="none" w:sz="0" w:space="0" w:color="auto"/>
          </w:divBdr>
        </w:div>
        <w:div w:id="221721117">
          <w:marLeft w:val="0"/>
          <w:marRight w:val="0"/>
          <w:marTop w:val="0"/>
          <w:marBottom w:val="0"/>
          <w:divBdr>
            <w:top w:val="none" w:sz="0" w:space="0" w:color="auto"/>
            <w:left w:val="none" w:sz="0" w:space="0" w:color="auto"/>
            <w:bottom w:val="none" w:sz="0" w:space="0" w:color="auto"/>
            <w:right w:val="none" w:sz="0" w:space="0" w:color="auto"/>
          </w:divBdr>
        </w:div>
        <w:div w:id="2001343651">
          <w:marLeft w:val="0"/>
          <w:marRight w:val="0"/>
          <w:marTop w:val="0"/>
          <w:marBottom w:val="0"/>
          <w:divBdr>
            <w:top w:val="none" w:sz="0" w:space="0" w:color="auto"/>
            <w:left w:val="none" w:sz="0" w:space="0" w:color="auto"/>
            <w:bottom w:val="none" w:sz="0" w:space="0" w:color="auto"/>
            <w:right w:val="none" w:sz="0" w:space="0" w:color="auto"/>
          </w:divBdr>
        </w:div>
        <w:div w:id="502743742">
          <w:marLeft w:val="0"/>
          <w:marRight w:val="0"/>
          <w:marTop w:val="0"/>
          <w:marBottom w:val="0"/>
          <w:divBdr>
            <w:top w:val="none" w:sz="0" w:space="0" w:color="auto"/>
            <w:left w:val="none" w:sz="0" w:space="0" w:color="auto"/>
            <w:bottom w:val="none" w:sz="0" w:space="0" w:color="auto"/>
            <w:right w:val="none" w:sz="0" w:space="0" w:color="auto"/>
          </w:divBdr>
        </w:div>
        <w:div w:id="1764260133">
          <w:marLeft w:val="0"/>
          <w:marRight w:val="0"/>
          <w:marTop w:val="0"/>
          <w:marBottom w:val="0"/>
          <w:divBdr>
            <w:top w:val="none" w:sz="0" w:space="0" w:color="auto"/>
            <w:left w:val="none" w:sz="0" w:space="0" w:color="auto"/>
            <w:bottom w:val="none" w:sz="0" w:space="0" w:color="auto"/>
            <w:right w:val="none" w:sz="0" w:space="0" w:color="auto"/>
          </w:divBdr>
        </w:div>
        <w:div w:id="1778256245">
          <w:marLeft w:val="0"/>
          <w:marRight w:val="0"/>
          <w:marTop w:val="0"/>
          <w:marBottom w:val="0"/>
          <w:divBdr>
            <w:top w:val="none" w:sz="0" w:space="0" w:color="auto"/>
            <w:left w:val="none" w:sz="0" w:space="0" w:color="auto"/>
            <w:bottom w:val="none" w:sz="0" w:space="0" w:color="auto"/>
            <w:right w:val="none" w:sz="0" w:space="0" w:color="auto"/>
          </w:divBdr>
        </w:div>
        <w:div w:id="802968583">
          <w:marLeft w:val="0"/>
          <w:marRight w:val="0"/>
          <w:marTop w:val="0"/>
          <w:marBottom w:val="0"/>
          <w:divBdr>
            <w:top w:val="none" w:sz="0" w:space="0" w:color="auto"/>
            <w:left w:val="none" w:sz="0" w:space="0" w:color="auto"/>
            <w:bottom w:val="none" w:sz="0" w:space="0" w:color="auto"/>
            <w:right w:val="none" w:sz="0" w:space="0" w:color="auto"/>
          </w:divBdr>
        </w:div>
        <w:div w:id="229274878">
          <w:marLeft w:val="0"/>
          <w:marRight w:val="0"/>
          <w:marTop w:val="0"/>
          <w:marBottom w:val="0"/>
          <w:divBdr>
            <w:top w:val="none" w:sz="0" w:space="0" w:color="auto"/>
            <w:left w:val="none" w:sz="0" w:space="0" w:color="auto"/>
            <w:bottom w:val="none" w:sz="0" w:space="0" w:color="auto"/>
            <w:right w:val="none" w:sz="0" w:space="0" w:color="auto"/>
          </w:divBdr>
        </w:div>
        <w:div w:id="1250579784">
          <w:marLeft w:val="0"/>
          <w:marRight w:val="0"/>
          <w:marTop w:val="0"/>
          <w:marBottom w:val="0"/>
          <w:divBdr>
            <w:top w:val="none" w:sz="0" w:space="0" w:color="auto"/>
            <w:left w:val="none" w:sz="0" w:space="0" w:color="auto"/>
            <w:bottom w:val="none" w:sz="0" w:space="0" w:color="auto"/>
            <w:right w:val="none" w:sz="0" w:space="0" w:color="auto"/>
          </w:divBdr>
        </w:div>
        <w:div w:id="2071004023">
          <w:marLeft w:val="0"/>
          <w:marRight w:val="0"/>
          <w:marTop w:val="0"/>
          <w:marBottom w:val="0"/>
          <w:divBdr>
            <w:top w:val="none" w:sz="0" w:space="0" w:color="auto"/>
            <w:left w:val="none" w:sz="0" w:space="0" w:color="auto"/>
            <w:bottom w:val="none" w:sz="0" w:space="0" w:color="auto"/>
            <w:right w:val="none" w:sz="0" w:space="0" w:color="auto"/>
          </w:divBdr>
        </w:div>
        <w:div w:id="941569653">
          <w:marLeft w:val="0"/>
          <w:marRight w:val="0"/>
          <w:marTop w:val="0"/>
          <w:marBottom w:val="0"/>
          <w:divBdr>
            <w:top w:val="none" w:sz="0" w:space="0" w:color="auto"/>
            <w:left w:val="none" w:sz="0" w:space="0" w:color="auto"/>
            <w:bottom w:val="none" w:sz="0" w:space="0" w:color="auto"/>
            <w:right w:val="none" w:sz="0" w:space="0" w:color="auto"/>
          </w:divBdr>
        </w:div>
        <w:div w:id="1758475629">
          <w:marLeft w:val="0"/>
          <w:marRight w:val="0"/>
          <w:marTop w:val="0"/>
          <w:marBottom w:val="0"/>
          <w:divBdr>
            <w:top w:val="none" w:sz="0" w:space="0" w:color="auto"/>
            <w:left w:val="none" w:sz="0" w:space="0" w:color="auto"/>
            <w:bottom w:val="none" w:sz="0" w:space="0" w:color="auto"/>
            <w:right w:val="none" w:sz="0" w:space="0" w:color="auto"/>
          </w:divBdr>
        </w:div>
        <w:div w:id="735782530">
          <w:marLeft w:val="0"/>
          <w:marRight w:val="0"/>
          <w:marTop w:val="0"/>
          <w:marBottom w:val="0"/>
          <w:divBdr>
            <w:top w:val="none" w:sz="0" w:space="0" w:color="auto"/>
            <w:left w:val="none" w:sz="0" w:space="0" w:color="auto"/>
            <w:bottom w:val="none" w:sz="0" w:space="0" w:color="auto"/>
            <w:right w:val="none" w:sz="0" w:space="0" w:color="auto"/>
          </w:divBdr>
        </w:div>
        <w:div w:id="1574197407">
          <w:marLeft w:val="0"/>
          <w:marRight w:val="0"/>
          <w:marTop w:val="0"/>
          <w:marBottom w:val="0"/>
          <w:divBdr>
            <w:top w:val="none" w:sz="0" w:space="0" w:color="auto"/>
            <w:left w:val="none" w:sz="0" w:space="0" w:color="auto"/>
            <w:bottom w:val="none" w:sz="0" w:space="0" w:color="auto"/>
            <w:right w:val="none" w:sz="0" w:space="0" w:color="auto"/>
          </w:divBdr>
        </w:div>
        <w:div w:id="17242036">
          <w:marLeft w:val="0"/>
          <w:marRight w:val="0"/>
          <w:marTop w:val="0"/>
          <w:marBottom w:val="0"/>
          <w:divBdr>
            <w:top w:val="none" w:sz="0" w:space="0" w:color="auto"/>
            <w:left w:val="none" w:sz="0" w:space="0" w:color="auto"/>
            <w:bottom w:val="none" w:sz="0" w:space="0" w:color="auto"/>
            <w:right w:val="none" w:sz="0" w:space="0" w:color="auto"/>
          </w:divBdr>
        </w:div>
        <w:div w:id="440298023">
          <w:marLeft w:val="0"/>
          <w:marRight w:val="0"/>
          <w:marTop w:val="0"/>
          <w:marBottom w:val="0"/>
          <w:divBdr>
            <w:top w:val="none" w:sz="0" w:space="0" w:color="auto"/>
            <w:left w:val="none" w:sz="0" w:space="0" w:color="auto"/>
            <w:bottom w:val="none" w:sz="0" w:space="0" w:color="auto"/>
            <w:right w:val="none" w:sz="0" w:space="0" w:color="auto"/>
          </w:divBdr>
        </w:div>
        <w:div w:id="1643802277">
          <w:marLeft w:val="0"/>
          <w:marRight w:val="0"/>
          <w:marTop w:val="0"/>
          <w:marBottom w:val="0"/>
          <w:divBdr>
            <w:top w:val="none" w:sz="0" w:space="0" w:color="auto"/>
            <w:left w:val="none" w:sz="0" w:space="0" w:color="auto"/>
            <w:bottom w:val="none" w:sz="0" w:space="0" w:color="auto"/>
            <w:right w:val="none" w:sz="0" w:space="0" w:color="auto"/>
          </w:divBdr>
        </w:div>
        <w:div w:id="1391726576">
          <w:marLeft w:val="0"/>
          <w:marRight w:val="0"/>
          <w:marTop w:val="0"/>
          <w:marBottom w:val="0"/>
          <w:divBdr>
            <w:top w:val="none" w:sz="0" w:space="0" w:color="auto"/>
            <w:left w:val="none" w:sz="0" w:space="0" w:color="auto"/>
            <w:bottom w:val="none" w:sz="0" w:space="0" w:color="auto"/>
            <w:right w:val="none" w:sz="0" w:space="0" w:color="auto"/>
          </w:divBdr>
        </w:div>
        <w:div w:id="2003042508">
          <w:marLeft w:val="0"/>
          <w:marRight w:val="0"/>
          <w:marTop w:val="0"/>
          <w:marBottom w:val="0"/>
          <w:divBdr>
            <w:top w:val="none" w:sz="0" w:space="0" w:color="auto"/>
            <w:left w:val="none" w:sz="0" w:space="0" w:color="auto"/>
            <w:bottom w:val="none" w:sz="0" w:space="0" w:color="auto"/>
            <w:right w:val="none" w:sz="0" w:space="0" w:color="auto"/>
          </w:divBdr>
        </w:div>
        <w:div w:id="1112821229">
          <w:marLeft w:val="0"/>
          <w:marRight w:val="0"/>
          <w:marTop w:val="0"/>
          <w:marBottom w:val="0"/>
          <w:divBdr>
            <w:top w:val="none" w:sz="0" w:space="0" w:color="auto"/>
            <w:left w:val="none" w:sz="0" w:space="0" w:color="auto"/>
            <w:bottom w:val="none" w:sz="0" w:space="0" w:color="auto"/>
            <w:right w:val="none" w:sz="0" w:space="0" w:color="auto"/>
          </w:divBdr>
        </w:div>
        <w:div w:id="1489781355">
          <w:marLeft w:val="0"/>
          <w:marRight w:val="0"/>
          <w:marTop w:val="0"/>
          <w:marBottom w:val="0"/>
          <w:divBdr>
            <w:top w:val="none" w:sz="0" w:space="0" w:color="auto"/>
            <w:left w:val="none" w:sz="0" w:space="0" w:color="auto"/>
            <w:bottom w:val="none" w:sz="0" w:space="0" w:color="auto"/>
            <w:right w:val="none" w:sz="0" w:space="0" w:color="auto"/>
          </w:divBdr>
        </w:div>
        <w:div w:id="766118277">
          <w:marLeft w:val="0"/>
          <w:marRight w:val="0"/>
          <w:marTop w:val="0"/>
          <w:marBottom w:val="0"/>
          <w:divBdr>
            <w:top w:val="none" w:sz="0" w:space="0" w:color="auto"/>
            <w:left w:val="none" w:sz="0" w:space="0" w:color="auto"/>
            <w:bottom w:val="none" w:sz="0" w:space="0" w:color="auto"/>
            <w:right w:val="none" w:sz="0" w:space="0" w:color="auto"/>
          </w:divBdr>
        </w:div>
        <w:div w:id="1424568200">
          <w:marLeft w:val="0"/>
          <w:marRight w:val="0"/>
          <w:marTop w:val="0"/>
          <w:marBottom w:val="0"/>
          <w:divBdr>
            <w:top w:val="none" w:sz="0" w:space="0" w:color="auto"/>
            <w:left w:val="none" w:sz="0" w:space="0" w:color="auto"/>
            <w:bottom w:val="none" w:sz="0" w:space="0" w:color="auto"/>
            <w:right w:val="none" w:sz="0" w:space="0" w:color="auto"/>
          </w:divBdr>
        </w:div>
        <w:div w:id="1740594475">
          <w:marLeft w:val="0"/>
          <w:marRight w:val="0"/>
          <w:marTop w:val="0"/>
          <w:marBottom w:val="0"/>
          <w:divBdr>
            <w:top w:val="none" w:sz="0" w:space="0" w:color="auto"/>
            <w:left w:val="none" w:sz="0" w:space="0" w:color="auto"/>
            <w:bottom w:val="none" w:sz="0" w:space="0" w:color="auto"/>
            <w:right w:val="none" w:sz="0" w:space="0" w:color="auto"/>
          </w:divBdr>
        </w:div>
        <w:div w:id="1782456375">
          <w:marLeft w:val="0"/>
          <w:marRight w:val="0"/>
          <w:marTop w:val="0"/>
          <w:marBottom w:val="0"/>
          <w:divBdr>
            <w:top w:val="none" w:sz="0" w:space="0" w:color="auto"/>
            <w:left w:val="none" w:sz="0" w:space="0" w:color="auto"/>
            <w:bottom w:val="none" w:sz="0" w:space="0" w:color="auto"/>
            <w:right w:val="none" w:sz="0" w:space="0" w:color="auto"/>
          </w:divBdr>
        </w:div>
        <w:div w:id="1255898758">
          <w:marLeft w:val="0"/>
          <w:marRight w:val="0"/>
          <w:marTop w:val="0"/>
          <w:marBottom w:val="0"/>
          <w:divBdr>
            <w:top w:val="none" w:sz="0" w:space="0" w:color="auto"/>
            <w:left w:val="none" w:sz="0" w:space="0" w:color="auto"/>
            <w:bottom w:val="none" w:sz="0" w:space="0" w:color="auto"/>
            <w:right w:val="none" w:sz="0" w:space="0" w:color="auto"/>
          </w:divBdr>
        </w:div>
        <w:div w:id="1455755659">
          <w:marLeft w:val="0"/>
          <w:marRight w:val="0"/>
          <w:marTop w:val="0"/>
          <w:marBottom w:val="0"/>
          <w:divBdr>
            <w:top w:val="none" w:sz="0" w:space="0" w:color="auto"/>
            <w:left w:val="none" w:sz="0" w:space="0" w:color="auto"/>
            <w:bottom w:val="none" w:sz="0" w:space="0" w:color="auto"/>
            <w:right w:val="none" w:sz="0" w:space="0" w:color="auto"/>
          </w:divBdr>
        </w:div>
        <w:div w:id="809588818">
          <w:marLeft w:val="0"/>
          <w:marRight w:val="0"/>
          <w:marTop w:val="0"/>
          <w:marBottom w:val="0"/>
          <w:divBdr>
            <w:top w:val="none" w:sz="0" w:space="0" w:color="auto"/>
            <w:left w:val="none" w:sz="0" w:space="0" w:color="auto"/>
            <w:bottom w:val="none" w:sz="0" w:space="0" w:color="auto"/>
            <w:right w:val="none" w:sz="0" w:space="0" w:color="auto"/>
          </w:divBdr>
        </w:div>
        <w:div w:id="963342613">
          <w:marLeft w:val="0"/>
          <w:marRight w:val="0"/>
          <w:marTop w:val="0"/>
          <w:marBottom w:val="0"/>
          <w:divBdr>
            <w:top w:val="none" w:sz="0" w:space="0" w:color="auto"/>
            <w:left w:val="none" w:sz="0" w:space="0" w:color="auto"/>
            <w:bottom w:val="none" w:sz="0" w:space="0" w:color="auto"/>
            <w:right w:val="none" w:sz="0" w:space="0" w:color="auto"/>
          </w:divBdr>
        </w:div>
        <w:div w:id="873273730">
          <w:marLeft w:val="0"/>
          <w:marRight w:val="0"/>
          <w:marTop w:val="0"/>
          <w:marBottom w:val="0"/>
          <w:divBdr>
            <w:top w:val="none" w:sz="0" w:space="0" w:color="auto"/>
            <w:left w:val="none" w:sz="0" w:space="0" w:color="auto"/>
            <w:bottom w:val="none" w:sz="0" w:space="0" w:color="auto"/>
            <w:right w:val="none" w:sz="0" w:space="0" w:color="auto"/>
          </w:divBdr>
        </w:div>
        <w:div w:id="547956881">
          <w:marLeft w:val="0"/>
          <w:marRight w:val="0"/>
          <w:marTop w:val="0"/>
          <w:marBottom w:val="0"/>
          <w:divBdr>
            <w:top w:val="none" w:sz="0" w:space="0" w:color="auto"/>
            <w:left w:val="none" w:sz="0" w:space="0" w:color="auto"/>
            <w:bottom w:val="none" w:sz="0" w:space="0" w:color="auto"/>
            <w:right w:val="none" w:sz="0" w:space="0" w:color="auto"/>
          </w:divBdr>
        </w:div>
        <w:div w:id="1583832883">
          <w:marLeft w:val="0"/>
          <w:marRight w:val="0"/>
          <w:marTop w:val="0"/>
          <w:marBottom w:val="0"/>
          <w:divBdr>
            <w:top w:val="none" w:sz="0" w:space="0" w:color="auto"/>
            <w:left w:val="none" w:sz="0" w:space="0" w:color="auto"/>
            <w:bottom w:val="none" w:sz="0" w:space="0" w:color="auto"/>
            <w:right w:val="none" w:sz="0" w:space="0" w:color="auto"/>
          </w:divBdr>
        </w:div>
        <w:div w:id="1767731404">
          <w:marLeft w:val="0"/>
          <w:marRight w:val="0"/>
          <w:marTop w:val="0"/>
          <w:marBottom w:val="0"/>
          <w:divBdr>
            <w:top w:val="none" w:sz="0" w:space="0" w:color="auto"/>
            <w:left w:val="none" w:sz="0" w:space="0" w:color="auto"/>
            <w:bottom w:val="none" w:sz="0" w:space="0" w:color="auto"/>
            <w:right w:val="none" w:sz="0" w:space="0" w:color="auto"/>
          </w:divBdr>
        </w:div>
        <w:div w:id="1909069890">
          <w:marLeft w:val="0"/>
          <w:marRight w:val="0"/>
          <w:marTop w:val="0"/>
          <w:marBottom w:val="0"/>
          <w:divBdr>
            <w:top w:val="none" w:sz="0" w:space="0" w:color="auto"/>
            <w:left w:val="none" w:sz="0" w:space="0" w:color="auto"/>
            <w:bottom w:val="none" w:sz="0" w:space="0" w:color="auto"/>
            <w:right w:val="none" w:sz="0" w:space="0" w:color="auto"/>
          </w:divBdr>
        </w:div>
        <w:div w:id="1943418958">
          <w:marLeft w:val="0"/>
          <w:marRight w:val="0"/>
          <w:marTop w:val="0"/>
          <w:marBottom w:val="0"/>
          <w:divBdr>
            <w:top w:val="none" w:sz="0" w:space="0" w:color="auto"/>
            <w:left w:val="none" w:sz="0" w:space="0" w:color="auto"/>
            <w:bottom w:val="none" w:sz="0" w:space="0" w:color="auto"/>
            <w:right w:val="none" w:sz="0" w:space="0" w:color="auto"/>
          </w:divBdr>
        </w:div>
        <w:div w:id="1755128788">
          <w:marLeft w:val="0"/>
          <w:marRight w:val="0"/>
          <w:marTop w:val="0"/>
          <w:marBottom w:val="0"/>
          <w:divBdr>
            <w:top w:val="none" w:sz="0" w:space="0" w:color="auto"/>
            <w:left w:val="none" w:sz="0" w:space="0" w:color="auto"/>
            <w:bottom w:val="none" w:sz="0" w:space="0" w:color="auto"/>
            <w:right w:val="none" w:sz="0" w:space="0" w:color="auto"/>
          </w:divBdr>
        </w:div>
        <w:div w:id="859970358">
          <w:marLeft w:val="0"/>
          <w:marRight w:val="0"/>
          <w:marTop w:val="0"/>
          <w:marBottom w:val="0"/>
          <w:divBdr>
            <w:top w:val="none" w:sz="0" w:space="0" w:color="auto"/>
            <w:left w:val="none" w:sz="0" w:space="0" w:color="auto"/>
            <w:bottom w:val="none" w:sz="0" w:space="0" w:color="auto"/>
            <w:right w:val="none" w:sz="0" w:space="0" w:color="auto"/>
          </w:divBdr>
        </w:div>
        <w:div w:id="389115170">
          <w:marLeft w:val="0"/>
          <w:marRight w:val="0"/>
          <w:marTop w:val="0"/>
          <w:marBottom w:val="0"/>
          <w:divBdr>
            <w:top w:val="none" w:sz="0" w:space="0" w:color="auto"/>
            <w:left w:val="none" w:sz="0" w:space="0" w:color="auto"/>
            <w:bottom w:val="none" w:sz="0" w:space="0" w:color="auto"/>
            <w:right w:val="none" w:sz="0" w:space="0" w:color="auto"/>
          </w:divBdr>
        </w:div>
        <w:div w:id="738600316">
          <w:marLeft w:val="0"/>
          <w:marRight w:val="0"/>
          <w:marTop w:val="0"/>
          <w:marBottom w:val="0"/>
          <w:divBdr>
            <w:top w:val="none" w:sz="0" w:space="0" w:color="auto"/>
            <w:left w:val="none" w:sz="0" w:space="0" w:color="auto"/>
            <w:bottom w:val="none" w:sz="0" w:space="0" w:color="auto"/>
            <w:right w:val="none" w:sz="0" w:space="0" w:color="auto"/>
          </w:divBdr>
        </w:div>
        <w:div w:id="1578049079">
          <w:marLeft w:val="0"/>
          <w:marRight w:val="0"/>
          <w:marTop w:val="0"/>
          <w:marBottom w:val="0"/>
          <w:divBdr>
            <w:top w:val="none" w:sz="0" w:space="0" w:color="auto"/>
            <w:left w:val="none" w:sz="0" w:space="0" w:color="auto"/>
            <w:bottom w:val="none" w:sz="0" w:space="0" w:color="auto"/>
            <w:right w:val="none" w:sz="0" w:space="0" w:color="auto"/>
          </w:divBdr>
        </w:div>
        <w:div w:id="2131968920">
          <w:marLeft w:val="0"/>
          <w:marRight w:val="0"/>
          <w:marTop w:val="0"/>
          <w:marBottom w:val="0"/>
          <w:divBdr>
            <w:top w:val="none" w:sz="0" w:space="0" w:color="auto"/>
            <w:left w:val="none" w:sz="0" w:space="0" w:color="auto"/>
            <w:bottom w:val="none" w:sz="0" w:space="0" w:color="auto"/>
            <w:right w:val="none" w:sz="0" w:space="0" w:color="auto"/>
          </w:divBdr>
        </w:div>
        <w:div w:id="944924745">
          <w:marLeft w:val="0"/>
          <w:marRight w:val="0"/>
          <w:marTop w:val="0"/>
          <w:marBottom w:val="0"/>
          <w:divBdr>
            <w:top w:val="none" w:sz="0" w:space="0" w:color="auto"/>
            <w:left w:val="none" w:sz="0" w:space="0" w:color="auto"/>
            <w:bottom w:val="none" w:sz="0" w:space="0" w:color="auto"/>
            <w:right w:val="none" w:sz="0" w:space="0" w:color="auto"/>
          </w:divBdr>
        </w:div>
        <w:div w:id="1853760807">
          <w:marLeft w:val="0"/>
          <w:marRight w:val="0"/>
          <w:marTop w:val="0"/>
          <w:marBottom w:val="0"/>
          <w:divBdr>
            <w:top w:val="none" w:sz="0" w:space="0" w:color="auto"/>
            <w:left w:val="none" w:sz="0" w:space="0" w:color="auto"/>
            <w:bottom w:val="none" w:sz="0" w:space="0" w:color="auto"/>
            <w:right w:val="none" w:sz="0" w:space="0" w:color="auto"/>
          </w:divBdr>
        </w:div>
        <w:div w:id="802236696">
          <w:marLeft w:val="0"/>
          <w:marRight w:val="0"/>
          <w:marTop w:val="0"/>
          <w:marBottom w:val="0"/>
          <w:divBdr>
            <w:top w:val="none" w:sz="0" w:space="0" w:color="auto"/>
            <w:left w:val="none" w:sz="0" w:space="0" w:color="auto"/>
            <w:bottom w:val="none" w:sz="0" w:space="0" w:color="auto"/>
            <w:right w:val="none" w:sz="0" w:space="0" w:color="auto"/>
          </w:divBdr>
        </w:div>
        <w:div w:id="72433401">
          <w:marLeft w:val="0"/>
          <w:marRight w:val="0"/>
          <w:marTop w:val="0"/>
          <w:marBottom w:val="0"/>
          <w:divBdr>
            <w:top w:val="none" w:sz="0" w:space="0" w:color="auto"/>
            <w:left w:val="none" w:sz="0" w:space="0" w:color="auto"/>
            <w:bottom w:val="none" w:sz="0" w:space="0" w:color="auto"/>
            <w:right w:val="none" w:sz="0" w:space="0" w:color="auto"/>
          </w:divBdr>
        </w:div>
        <w:div w:id="777793208">
          <w:marLeft w:val="0"/>
          <w:marRight w:val="0"/>
          <w:marTop w:val="0"/>
          <w:marBottom w:val="0"/>
          <w:divBdr>
            <w:top w:val="none" w:sz="0" w:space="0" w:color="auto"/>
            <w:left w:val="none" w:sz="0" w:space="0" w:color="auto"/>
            <w:bottom w:val="none" w:sz="0" w:space="0" w:color="auto"/>
            <w:right w:val="none" w:sz="0" w:space="0" w:color="auto"/>
          </w:divBdr>
        </w:div>
        <w:div w:id="915820604">
          <w:marLeft w:val="0"/>
          <w:marRight w:val="0"/>
          <w:marTop w:val="0"/>
          <w:marBottom w:val="0"/>
          <w:divBdr>
            <w:top w:val="none" w:sz="0" w:space="0" w:color="auto"/>
            <w:left w:val="none" w:sz="0" w:space="0" w:color="auto"/>
            <w:bottom w:val="none" w:sz="0" w:space="0" w:color="auto"/>
            <w:right w:val="none" w:sz="0" w:space="0" w:color="auto"/>
          </w:divBdr>
        </w:div>
        <w:div w:id="280259824">
          <w:marLeft w:val="0"/>
          <w:marRight w:val="0"/>
          <w:marTop w:val="0"/>
          <w:marBottom w:val="0"/>
          <w:divBdr>
            <w:top w:val="none" w:sz="0" w:space="0" w:color="auto"/>
            <w:left w:val="none" w:sz="0" w:space="0" w:color="auto"/>
            <w:bottom w:val="none" w:sz="0" w:space="0" w:color="auto"/>
            <w:right w:val="none" w:sz="0" w:space="0" w:color="auto"/>
          </w:divBdr>
        </w:div>
        <w:div w:id="752092395">
          <w:marLeft w:val="0"/>
          <w:marRight w:val="0"/>
          <w:marTop w:val="0"/>
          <w:marBottom w:val="0"/>
          <w:divBdr>
            <w:top w:val="none" w:sz="0" w:space="0" w:color="auto"/>
            <w:left w:val="none" w:sz="0" w:space="0" w:color="auto"/>
            <w:bottom w:val="none" w:sz="0" w:space="0" w:color="auto"/>
            <w:right w:val="none" w:sz="0" w:space="0" w:color="auto"/>
          </w:divBdr>
        </w:div>
        <w:div w:id="1082877354">
          <w:marLeft w:val="0"/>
          <w:marRight w:val="0"/>
          <w:marTop w:val="0"/>
          <w:marBottom w:val="0"/>
          <w:divBdr>
            <w:top w:val="none" w:sz="0" w:space="0" w:color="auto"/>
            <w:left w:val="none" w:sz="0" w:space="0" w:color="auto"/>
            <w:bottom w:val="none" w:sz="0" w:space="0" w:color="auto"/>
            <w:right w:val="none" w:sz="0" w:space="0" w:color="auto"/>
          </w:divBdr>
        </w:div>
        <w:div w:id="373966320">
          <w:marLeft w:val="0"/>
          <w:marRight w:val="0"/>
          <w:marTop w:val="0"/>
          <w:marBottom w:val="0"/>
          <w:divBdr>
            <w:top w:val="none" w:sz="0" w:space="0" w:color="auto"/>
            <w:left w:val="none" w:sz="0" w:space="0" w:color="auto"/>
            <w:bottom w:val="none" w:sz="0" w:space="0" w:color="auto"/>
            <w:right w:val="none" w:sz="0" w:space="0" w:color="auto"/>
          </w:divBdr>
        </w:div>
        <w:div w:id="1858739294">
          <w:marLeft w:val="0"/>
          <w:marRight w:val="0"/>
          <w:marTop w:val="0"/>
          <w:marBottom w:val="0"/>
          <w:divBdr>
            <w:top w:val="none" w:sz="0" w:space="0" w:color="auto"/>
            <w:left w:val="none" w:sz="0" w:space="0" w:color="auto"/>
            <w:bottom w:val="none" w:sz="0" w:space="0" w:color="auto"/>
            <w:right w:val="none" w:sz="0" w:space="0" w:color="auto"/>
          </w:divBdr>
        </w:div>
        <w:div w:id="1293942805">
          <w:marLeft w:val="0"/>
          <w:marRight w:val="0"/>
          <w:marTop w:val="0"/>
          <w:marBottom w:val="0"/>
          <w:divBdr>
            <w:top w:val="none" w:sz="0" w:space="0" w:color="auto"/>
            <w:left w:val="none" w:sz="0" w:space="0" w:color="auto"/>
            <w:bottom w:val="none" w:sz="0" w:space="0" w:color="auto"/>
            <w:right w:val="none" w:sz="0" w:space="0" w:color="auto"/>
          </w:divBdr>
        </w:div>
        <w:div w:id="1206335156">
          <w:marLeft w:val="0"/>
          <w:marRight w:val="0"/>
          <w:marTop w:val="0"/>
          <w:marBottom w:val="0"/>
          <w:divBdr>
            <w:top w:val="none" w:sz="0" w:space="0" w:color="auto"/>
            <w:left w:val="none" w:sz="0" w:space="0" w:color="auto"/>
            <w:bottom w:val="none" w:sz="0" w:space="0" w:color="auto"/>
            <w:right w:val="none" w:sz="0" w:space="0" w:color="auto"/>
          </w:divBdr>
        </w:div>
        <w:div w:id="704257732">
          <w:marLeft w:val="0"/>
          <w:marRight w:val="0"/>
          <w:marTop w:val="0"/>
          <w:marBottom w:val="0"/>
          <w:divBdr>
            <w:top w:val="none" w:sz="0" w:space="0" w:color="auto"/>
            <w:left w:val="none" w:sz="0" w:space="0" w:color="auto"/>
            <w:bottom w:val="none" w:sz="0" w:space="0" w:color="auto"/>
            <w:right w:val="none" w:sz="0" w:space="0" w:color="auto"/>
          </w:divBdr>
        </w:div>
        <w:div w:id="529340926">
          <w:marLeft w:val="0"/>
          <w:marRight w:val="0"/>
          <w:marTop w:val="0"/>
          <w:marBottom w:val="0"/>
          <w:divBdr>
            <w:top w:val="none" w:sz="0" w:space="0" w:color="auto"/>
            <w:left w:val="none" w:sz="0" w:space="0" w:color="auto"/>
            <w:bottom w:val="none" w:sz="0" w:space="0" w:color="auto"/>
            <w:right w:val="none" w:sz="0" w:space="0" w:color="auto"/>
          </w:divBdr>
        </w:div>
        <w:div w:id="919947392">
          <w:marLeft w:val="0"/>
          <w:marRight w:val="0"/>
          <w:marTop w:val="0"/>
          <w:marBottom w:val="0"/>
          <w:divBdr>
            <w:top w:val="none" w:sz="0" w:space="0" w:color="auto"/>
            <w:left w:val="none" w:sz="0" w:space="0" w:color="auto"/>
            <w:bottom w:val="none" w:sz="0" w:space="0" w:color="auto"/>
            <w:right w:val="none" w:sz="0" w:space="0" w:color="auto"/>
          </w:divBdr>
        </w:div>
        <w:div w:id="455565882">
          <w:marLeft w:val="0"/>
          <w:marRight w:val="0"/>
          <w:marTop w:val="0"/>
          <w:marBottom w:val="0"/>
          <w:divBdr>
            <w:top w:val="none" w:sz="0" w:space="0" w:color="auto"/>
            <w:left w:val="none" w:sz="0" w:space="0" w:color="auto"/>
            <w:bottom w:val="none" w:sz="0" w:space="0" w:color="auto"/>
            <w:right w:val="none" w:sz="0" w:space="0" w:color="auto"/>
          </w:divBdr>
        </w:div>
        <w:div w:id="803543477">
          <w:marLeft w:val="0"/>
          <w:marRight w:val="0"/>
          <w:marTop w:val="0"/>
          <w:marBottom w:val="0"/>
          <w:divBdr>
            <w:top w:val="none" w:sz="0" w:space="0" w:color="auto"/>
            <w:left w:val="none" w:sz="0" w:space="0" w:color="auto"/>
            <w:bottom w:val="none" w:sz="0" w:space="0" w:color="auto"/>
            <w:right w:val="none" w:sz="0" w:space="0" w:color="auto"/>
          </w:divBdr>
        </w:div>
        <w:div w:id="1779711306">
          <w:marLeft w:val="0"/>
          <w:marRight w:val="0"/>
          <w:marTop w:val="0"/>
          <w:marBottom w:val="0"/>
          <w:divBdr>
            <w:top w:val="none" w:sz="0" w:space="0" w:color="auto"/>
            <w:left w:val="none" w:sz="0" w:space="0" w:color="auto"/>
            <w:bottom w:val="none" w:sz="0" w:space="0" w:color="auto"/>
            <w:right w:val="none" w:sz="0" w:space="0" w:color="auto"/>
          </w:divBdr>
        </w:div>
        <w:div w:id="742485862">
          <w:marLeft w:val="0"/>
          <w:marRight w:val="0"/>
          <w:marTop w:val="0"/>
          <w:marBottom w:val="0"/>
          <w:divBdr>
            <w:top w:val="none" w:sz="0" w:space="0" w:color="auto"/>
            <w:left w:val="none" w:sz="0" w:space="0" w:color="auto"/>
            <w:bottom w:val="none" w:sz="0" w:space="0" w:color="auto"/>
            <w:right w:val="none" w:sz="0" w:space="0" w:color="auto"/>
          </w:divBdr>
        </w:div>
        <w:div w:id="1660882664">
          <w:marLeft w:val="0"/>
          <w:marRight w:val="0"/>
          <w:marTop w:val="0"/>
          <w:marBottom w:val="0"/>
          <w:divBdr>
            <w:top w:val="none" w:sz="0" w:space="0" w:color="auto"/>
            <w:left w:val="none" w:sz="0" w:space="0" w:color="auto"/>
            <w:bottom w:val="none" w:sz="0" w:space="0" w:color="auto"/>
            <w:right w:val="none" w:sz="0" w:space="0" w:color="auto"/>
          </w:divBdr>
        </w:div>
        <w:div w:id="1023441054">
          <w:marLeft w:val="0"/>
          <w:marRight w:val="0"/>
          <w:marTop w:val="0"/>
          <w:marBottom w:val="0"/>
          <w:divBdr>
            <w:top w:val="none" w:sz="0" w:space="0" w:color="auto"/>
            <w:left w:val="none" w:sz="0" w:space="0" w:color="auto"/>
            <w:bottom w:val="none" w:sz="0" w:space="0" w:color="auto"/>
            <w:right w:val="none" w:sz="0" w:space="0" w:color="auto"/>
          </w:divBdr>
        </w:div>
        <w:div w:id="658196344">
          <w:marLeft w:val="0"/>
          <w:marRight w:val="0"/>
          <w:marTop w:val="0"/>
          <w:marBottom w:val="0"/>
          <w:divBdr>
            <w:top w:val="none" w:sz="0" w:space="0" w:color="auto"/>
            <w:left w:val="none" w:sz="0" w:space="0" w:color="auto"/>
            <w:bottom w:val="none" w:sz="0" w:space="0" w:color="auto"/>
            <w:right w:val="none" w:sz="0" w:space="0" w:color="auto"/>
          </w:divBdr>
        </w:div>
        <w:div w:id="656540062">
          <w:marLeft w:val="0"/>
          <w:marRight w:val="0"/>
          <w:marTop w:val="0"/>
          <w:marBottom w:val="0"/>
          <w:divBdr>
            <w:top w:val="none" w:sz="0" w:space="0" w:color="auto"/>
            <w:left w:val="none" w:sz="0" w:space="0" w:color="auto"/>
            <w:bottom w:val="none" w:sz="0" w:space="0" w:color="auto"/>
            <w:right w:val="none" w:sz="0" w:space="0" w:color="auto"/>
          </w:divBdr>
        </w:div>
        <w:div w:id="1209534033">
          <w:marLeft w:val="0"/>
          <w:marRight w:val="0"/>
          <w:marTop w:val="0"/>
          <w:marBottom w:val="0"/>
          <w:divBdr>
            <w:top w:val="none" w:sz="0" w:space="0" w:color="auto"/>
            <w:left w:val="none" w:sz="0" w:space="0" w:color="auto"/>
            <w:bottom w:val="none" w:sz="0" w:space="0" w:color="auto"/>
            <w:right w:val="none" w:sz="0" w:space="0" w:color="auto"/>
          </w:divBdr>
        </w:div>
        <w:div w:id="1369599175">
          <w:marLeft w:val="0"/>
          <w:marRight w:val="0"/>
          <w:marTop w:val="0"/>
          <w:marBottom w:val="0"/>
          <w:divBdr>
            <w:top w:val="none" w:sz="0" w:space="0" w:color="auto"/>
            <w:left w:val="none" w:sz="0" w:space="0" w:color="auto"/>
            <w:bottom w:val="none" w:sz="0" w:space="0" w:color="auto"/>
            <w:right w:val="none" w:sz="0" w:space="0" w:color="auto"/>
          </w:divBdr>
        </w:div>
        <w:div w:id="2017878678">
          <w:marLeft w:val="0"/>
          <w:marRight w:val="0"/>
          <w:marTop w:val="0"/>
          <w:marBottom w:val="0"/>
          <w:divBdr>
            <w:top w:val="none" w:sz="0" w:space="0" w:color="auto"/>
            <w:left w:val="none" w:sz="0" w:space="0" w:color="auto"/>
            <w:bottom w:val="none" w:sz="0" w:space="0" w:color="auto"/>
            <w:right w:val="none" w:sz="0" w:space="0" w:color="auto"/>
          </w:divBdr>
        </w:div>
        <w:div w:id="1363480607">
          <w:marLeft w:val="0"/>
          <w:marRight w:val="0"/>
          <w:marTop w:val="0"/>
          <w:marBottom w:val="0"/>
          <w:divBdr>
            <w:top w:val="none" w:sz="0" w:space="0" w:color="auto"/>
            <w:left w:val="none" w:sz="0" w:space="0" w:color="auto"/>
            <w:bottom w:val="none" w:sz="0" w:space="0" w:color="auto"/>
            <w:right w:val="none" w:sz="0" w:space="0" w:color="auto"/>
          </w:divBdr>
        </w:div>
        <w:div w:id="758211155">
          <w:marLeft w:val="0"/>
          <w:marRight w:val="0"/>
          <w:marTop w:val="0"/>
          <w:marBottom w:val="0"/>
          <w:divBdr>
            <w:top w:val="none" w:sz="0" w:space="0" w:color="auto"/>
            <w:left w:val="none" w:sz="0" w:space="0" w:color="auto"/>
            <w:bottom w:val="none" w:sz="0" w:space="0" w:color="auto"/>
            <w:right w:val="none" w:sz="0" w:space="0" w:color="auto"/>
          </w:divBdr>
        </w:div>
        <w:div w:id="1036320812">
          <w:marLeft w:val="0"/>
          <w:marRight w:val="0"/>
          <w:marTop w:val="0"/>
          <w:marBottom w:val="0"/>
          <w:divBdr>
            <w:top w:val="none" w:sz="0" w:space="0" w:color="auto"/>
            <w:left w:val="none" w:sz="0" w:space="0" w:color="auto"/>
            <w:bottom w:val="none" w:sz="0" w:space="0" w:color="auto"/>
            <w:right w:val="none" w:sz="0" w:space="0" w:color="auto"/>
          </w:divBdr>
        </w:div>
        <w:div w:id="208153817">
          <w:marLeft w:val="0"/>
          <w:marRight w:val="0"/>
          <w:marTop w:val="0"/>
          <w:marBottom w:val="0"/>
          <w:divBdr>
            <w:top w:val="none" w:sz="0" w:space="0" w:color="auto"/>
            <w:left w:val="none" w:sz="0" w:space="0" w:color="auto"/>
            <w:bottom w:val="none" w:sz="0" w:space="0" w:color="auto"/>
            <w:right w:val="none" w:sz="0" w:space="0" w:color="auto"/>
          </w:divBdr>
        </w:div>
        <w:div w:id="1542746509">
          <w:marLeft w:val="0"/>
          <w:marRight w:val="0"/>
          <w:marTop w:val="0"/>
          <w:marBottom w:val="0"/>
          <w:divBdr>
            <w:top w:val="none" w:sz="0" w:space="0" w:color="auto"/>
            <w:left w:val="none" w:sz="0" w:space="0" w:color="auto"/>
            <w:bottom w:val="none" w:sz="0" w:space="0" w:color="auto"/>
            <w:right w:val="none" w:sz="0" w:space="0" w:color="auto"/>
          </w:divBdr>
        </w:div>
        <w:div w:id="1592855290">
          <w:marLeft w:val="0"/>
          <w:marRight w:val="0"/>
          <w:marTop w:val="0"/>
          <w:marBottom w:val="0"/>
          <w:divBdr>
            <w:top w:val="none" w:sz="0" w:space="0" w:color="auto"/>
            <w:left w:val="none" w:sz="0" w:space="0" w:color="auto"/>
            <w:bottom w:val="none" w:sz="0" w:space="0" w:color="auto"/>
            <w:right w:val="none" w:sz="0" w:space="0" w:color="auto"/>
          </w:divBdr>
        </w:div>
        <w:div w:id="1252163358">
          <w:marLeft w:val="0"/>
          <w:marRight w:val="0"/>
          <w:marTop w:val="0"/>
          <w:marBottom w:val="0"/>
          <w:divBdr>
            <w:top w:val="none" w:sz="0" w:space="0" w:color="auto"/>
            <w:left w:val="none" w:sz="0" w:space="0" w:color="auto"/>
            <w:bottom w:val="none" w:sz="0" w:space="0" w:color="auto"/>
            <w:right w:val="none" w:sz="0" w:space="0" w:color="auto"/>
          </w:divBdr>
        </w:div>
        <w:div w:id="550850035">
          <w:marLeft w:val="0"/>
          <w:marRight w:val="0"/>
          <w:marTop w:val="0"/>
          <w:marBottom w:val="0"/>
          <w:divBdr>
            <w:top w:val="none" w:sz="0" w:space="0" w:color="auto"/>
            <w:left w:val="none" w:sz="0" w:space="0" w:color="auto"/>
            <w:bottom w:val="none" w:sz="0" w:space="0" w:color="auto"/>
            <w:right w:val="none" w:sz="0" w:space="0" w:color="auto"/>
          </w:divBdr>
        </w:div>
        <w:div w:id="2124761695">
          <w:marLeft w:val="0"/>
          <w:marRight w:val="0"/>
          <w:marTop w:val="0"/>
          <w:marBottom w:val="0"/>
          <w:divBdr>
            <w:top w:val="none" w:sz="0" w:space="0" w:color="auto"/>
            <w:left w:val="none" w:sz="0" w:space="0" w:color="auto"/>
            <w:bottom w:val="none" w:sz="0" w:space="0" w:color="auto"/>
            <w:right w:val="none" w:sz="0" w:space="0" w:color="auto"/>
          </w:divBdr>
        </w:div>
        <w:div w:id="2133478913">
          <w:marLeft w:val="0"/>
          <w:marRight w:val="0"/>
          <w:marTop w:val="0"/>
          <w:marBottom w:val="0"/>
          <w:divBdr>
            <w:top w:val="none" w:sz="0" w:space="0" w:color="auto"/>
            <w:left w:val="none" w:sz="0" w:space="0" w:color="auto"/>
            <w:bottom w:val="none" w:sz="0" w:space="0" w:color="auto"/>
            <w:right w:val="none" w:sz="0" w:space="0" w:color="auto"/>
          </w:divBdr>
        </w:div>
        <w:div w:id="597563684">
          <w:marLeft w:val="0"/>
          <w:marRight w:val="0"/>
          <w:marTop w:val="0"/>
          <w:marBottom w:val="0"/>
          <w:divBdr>
            <w:top w:val="none" w:sz="0" w:space="0" w:color="auto"/>
            <w:left w:val="none" w:sz="0" w:space="0" w:color="auto"/>
            <w:bottom w:val="none" w:sz="0" w:space="0" w:color="auto"/>
            <w:right w:val="none" w:sz="0" w:space="0" w:color="auto"/>
          </w:divBdr>
        </w:div>
        <w:div w:id="329868422">
          <w:marLeft w:val="0"/>
          <w:marRight w:val="0"/>
          <w:marTop w:val="0"/>
          <w:marBottom w:val="0"/>
          <w:divBdr>
            <w:top w:val="none" w:sz="0" w:space="0" w:color="auto"/>
            <w:left w:val="none" w:sz="0" w:space="0" w:color="auto"/>
            <w:bottom w:val="none" w:sz="0" w:space="0" w:color="auto"/>
            <w:right w:val="none" w:sz="0" w:space="0" w:color="auto"/>
          </w:divBdr>
        </w:div>
        <w:div w:id="497040849">
          <w:marLeft w:val="0"/>
          <w:marRight w:val="0"/>
          <w:marTop w:val="0"/>
          <w:marBottom w:val="0"/>
          <w:divBdr>
            <w:top w:val="none" w:sz="0" w:space="0" w:color="auto"/>
            <w:left w:val="none" w:sz="0" w:space="0" w:color="auto"/>
            <w:bottom w:val="none" w:sz="0" w:space="0" w:color="auto"/>
            <w:right w:val="none" w:sz="0" w:space="0" w:color="auto"/>
          </w:divBdr>
        </w:div>
        <w:div w:id="600334879">
          <w:marLeft w:val="0"/>
          <w:marRight w:val="0"/>
          <w:marTop w:val="0"/>
          <w:marBottom w:val="0"/>
          <w:divBdr>
            <w:top w:val="none" w:sz="0" w:space="0" w:color="auto"/>
            <w:left w:val="none" w:sz="0" w:space="0" w:color="auto"/>
            <w:bottom w:val="none" w:sz="0" w:space="0" w:color="auto"/>
            <w:right w:val="none" w:sz="0" w:space="0" w:color="auto"/>
          </w:divBdr>
        </w:div>
        <w:div w:id="1507671318">
          <w:marLeft w:val="0"/>
          <w:marRight w:val="0"/>
          <w:marTop w:val="0"/>
          <w:marBottom w:val="0"/>
          <w:divBdr>
            <w:top w:val="none" w:sz="0" w:space="0" w:color="auto"/>
            <w:left w:val="none" w:sz="0" w:space="0" w:color="auto"/>
            <w:bottom w:val="none" w:sz="0" w:space="0" w:color="auto"/>
            <w:right w:val="none" w:sz="0" w:space="0" w:color="auto"/>
          </w:divBdr>
        </w:div>
        <w:div w:id="1027412622">
          <w:marLeft w:val="0"/>
          <w:marRight w:val="0"/>
          <w:marTop w:val="0"/>
          <w:marBottom w:val="0"/>
          <w:divBdr>
            <w:top w:val="none" w:sz="0" w:space="0" w:color="auto"/>
            <w:left w:val="none" w:sz="0" w:space="0" w:color="auto"/>
            <w:bottom w:val="none" w:sz="0" w:space="0" w:color="auto"/>
            <w:right w:val="none" w:sz="0" w:space="0" w:color="auto"/>
          </w:divBdr>
        </w:div>
        <w:div w:id="1699508433">
          <w:marLeft w:val="0"/>
          <w:marRight w:val="0"/>
          <w:marTop w:val="0"/>
          <w:marBottom w:val="0"/>
          <w:divBdr>
            <w:top w:val="none" w:sz="0" w:space="0" w:color="auto"/>
            <w:left w:val="none" w:sz="0" w:space="0" w:color="auto"/>
            <w:bottom w:val="none" w:sz="0" w:space="0" w:color="auto"/>
            <w:right w:val="none" w:sz="0" w:space="0" w:color="auto"/>
          </w:divBdr>
        </w:div>
        <w:div w:id="1934168575">
          <w:marLeft w:val="0"/>
          <w:marRight w:val="0"/>
          <w:marTop w:val="0"/>
          <w:marBottom w:val="0"/>
          <w:divBdr>
            <w:top w:val="none" w:sz="0" w:space="0" w:color="auto"/>
            <w:left w:val="none" w:sz="0" w:space="0" w:color="auto"/>
            <w:bottom w:val="none" w:sz="0" w:space="0" w:color="auto"/>
            <w:right w:val="none" w:sz="0" w:space="0" w:color="auto"/>
          </w:divBdr>
        </w:div>
        <w:div w:id="1849785341">
          <w:marLeft w:val="0"/>
          <w:marRight w:val="0"/>
          <w:marTop w:val="0"/>
          <w:marBottom w:val="0"/>
          <w:divBdr>
            <w:top w:val="none" w:sz="0" w:space="0" w:color="auto"/>
            <w:left w:val="none" w:sz="0" w:space="0" w:color="auto"/>
            <w:bottom w:val="none" w:sz="0" w:space="0" w:color="auto"/>
            <w:right w:val="none" w:sz="0" w:space="0" w:color="auto"/>
          </w:divBdr>
        </w:div>
        <w:div w:id="1430658508">
          <w:marLeft w:val="0"/>
          <w:marRight w:val="0"/>
          <w:marTop w:val="0"/>
          <w:marBottom w:val="0"/>
          <w:divBdr>
            <w:top w:val="none" w:sz="0" w:space="0" w:color="auto"/>
            <w:left w:val="none" w:sz="0" w:space="0" w:color="auto"/>
            <w:bottom w:val="none" w:sz="0" w:space="0" w:color="auto"/>
            <w:right w:val="none" w:sz="0" w:space="0" w:color="auto"/>
          </w:divBdr>
        </w:div>
        <w:div w:id="104807968">
          <w:marLeft w:val="0"/>
          <w:marRight w:val="0"/>
          <w:marTop w:val="0"/>
          <w:marBottom w:val="0"/>
          <w:divBdr>
            <w:top w:val="none" w:sz="0" w:space="0" w:color="auto"/>
            <w:left w:val="none" w:sz="0" w:space="0" w:color="auto"/>
            <w:bottom w:val="none" w:sz="0" w:space="0" w:color="auto"/>
            <w:right w:val="none" w:sz="0" w:space="0" w:color="auto"/>
          </w:divBdr>
        </w:div>
        <w:div w:id="1150168623">
          <w:marLeft w:val="0"/>
          <w:marRight w:val="0"/>
          <w:marTop w:val="0"/>
          <w:marBottom w:val="0"/>
          <w:divBdr>
            <w:top w:val="none" w:sz="0" w:space="0" w:color="auto"/>
            <w:left w:val="none" w:sz="0" w:space="0" w:color="auto"/>
            <w:bottom w:val="none" w:sz="0" w:space="0" w:color="auto"/>
            <w:right w:val="none" w:sz="0" w:space="0" w:color="auto"/>
          </w:divBdr>
        </w:div>
        <w:div w:id="1122769899">
          <w:marLeft w:val="0"/>
          <w:marRight w:val="0"/>
          <w:marTop w:val="0"/>
          <w:marBottom w:val="0"/>
          <w:divBdr>
            <w:top w:val="none" w:sz="0" w:space="0" w:color="auto"/>
            <w:left w:val="none" w:sz="0" w:space="0" w:color="auto"/>
            <w:bottom w:val="none" w:sz="0" w:space="0" w:color="auto"/>
            <w:right w:val="none" w:sz="0" w:space="0" w:color="auto"/>
          </w:divBdr>
        </w:div>
        <w:div w:id="821888546">
          <w:marLeft w:val="0"/>
          <w:marRight w:val="0"/>
          <w:marTop w:val="0"/>
          <w:marBottom w:val="0"/>
          <w:divBdr>
            <w:top w:val="none" w:sz="0" w:space="0" w:color="auto"/>
            <w:left w:val="none" w:sz="0" w:space="0" w:color="auto"/>
            <w:bottom w:val="none" w:sz="0" w:space="0" w:color="auto"/>
            <w:right w:val="none" w:sz="0" w:space="0" w:color="auto"/>
          </w:divBdr>
        </w:div>
        <w:div w:id="201333792">
          <w:marLeft w:val="0"/>
          <w:marRight w:val="0"/>
          <w:marTop w:val="0"/>
          <w:marBottom w:val="0"/>
          <w:divBdr>
            <w:top w:val="none" w:sz="0" w:space="0" w:color="auto"/>
            <w:left w:val="none" w:sz="0" w:space="0" w:color="auto"/>
            <w:bottom w:val="none" w:sz="0" w:space="0" w:color="auto"/>
            <w:right w:val="none" w:sz="0" w:space="0" w:color="auto"/>
          </w:divBdr>
        </w:div>
        <w:div w:id="1970940366">
          <w:marLeft w:val="0"/>
          <w:marRight w:val="0"/>
          <w:marTop w:val="0"/>
          <w:marBottom w:val="0"/>
          <w:divBdr>
            <w:top w:val="none" w:sz="0" w:space="0" w:color="auto"/>
            <w:left w:val="none" w:sz="0" w:space="0" w:color="auto"/>
            <w:bottom w:val="none" w:sz="0" w:space="0" w:color="auto"/>
            <w:right w:val="none" w:sz="0" w:space="0" w:color="auto"/>
          </w:divBdr>
        </w:div>
        <w:div w:id="1879538175">
          <w:marLeft w:val="0"/>
          <w:marRight w:val="0"/>
          <w:marTop w:val="0"/>
          <w:marBottom w:val="0"/>
          <w:divBdr>
            <w:top w:val="none" w:sz="0" w:space="0" w:color="auto"/>
            <w:left w:val="none" w:sz="0" w:space="0" w:color="auto"/>
            <w:bottom w:val="none" w:sz="0" w:space="0" w:color="auto"/>
            <w:right w:val="none" w:sz="0" w:space="0" w:color="auto"/>
          </w:divBdr>
        </w:div>
        <w:div w:id="1273122627">
          <w:marLeft w:val="0"/>
          <w:marRight w:val="0"/>
          <w:marTop w:val="0"/>
          <w:marBottom w:val="0"/>
          <w:divBdr>
            <w:top w:val="none" w:sz="0" w:space="0" w:color="auto"/>
            <w:left w:val="none" w:sz="0" w:space="0" w:color="auto"/>
            <w:bottom w:val="none" w:sz="0" w:space="0" w:color="auto"/>
            <w:right w:val="none" w:sz="0" w:space="0" w:color="auto"/>
          </w:divBdr>
        </w:div>
        <w:div w:id="2104960223">
          <w:marLeft w:val="0"/>
          <w:marRight w:val="0"/>
          <w:marTop w:val="0"/>
          <w:marBottom w:val="0"/>
          <w:divBdr>
            <w:top w:val="none" w:sz="0" w:space="0" w:color="auto"/>
            <w:left w:val="none" w:sz="0" w:space="0" w:color="auto"/>
            <w:bottom w:val="none" w:sz="0" w:space="0" w:color="auto"/>
            <w:right w:val="none" w:sz="0" w:space="0" w:color="auto"/>
          </w:divBdr>
        </w:div>
        <w:div w:id="1923220194">
          <w:marLeft w:val="0"/>
          <w:marRight w:val="0"/>
          <w:marTop w:val="0"/>
          <w:marBottom w:val="0"/>
          <w:divBdr>
            <w:top w:val="none" w:sz="0" w:space="0" w:color="auto"/>
            <w:left w:val="none" w:sz="0" w:space="0" w:color="auto"/>
            <w:bottom w:val="none" w:sz="0" w:space="0" w:color="auto"/>
            <w:right w:val="none" w:sz="0" w:space="0" w:color="auto"/>
          </w:divBdr>
        </w:div>
        <w:div w:id="775250761">
          <w:marLeft w:val="0"/>
          <w:marRight w:val="0"/>
          <w:marTop w:val="0"/>
          <w:marBottom w:val="0"/>
          <w:divBdr>
            <w:top w:val="none" w:sz="0" w:space="0" w:color="auto"/>
            <w:left w:val="none" w:sz="0" w:space="0" w:color="auto"/>
            <w:bottom w:val="none" w:sz="0" w:space="0" w:color="auto"/>
            <w:right w:val="none" w:sz="0" w:space="0" w:color="auto"/>
          </w:divBdr>
        </w:div>
        <w:div w:id="623000355">
          <w:marLeft w:val="0"/>
          <w:marRight w:val="0"/>
          <w:marTop w:val="0"/>
          <w:marBottom w:val="0"/>
          <w:divBdr>
            <w:top w:val="none" w:sz="0" w:space="0" w:color="auto"/>
            <w:left w:val="none" w:sz="0" w:space="0" w:color="auto"/>
            <w:bottom w:val="none" w:sz="0" w:space="0" w:color="auto"/>
            <w:right w:val="none" w:sz="0" w:space="0" w:color="auto"/>
          </w:divBdr>
        </w:div>
        <w:div w:id="2085371506">
          <w:marLeft w:val="0"/>
          <w:marRight w:val="0"/>
          <w:marTop w:val="0"/>
          <w:marBottom w:val="0"/>
          <w:divBdr>
            <w:top w:val="none" w:sz="0" w:space="0" w:color="auto"/>
            <w:left w:val="none" w:sz="0" w:space="0" w:color="auto"/>
            <w:bottom w:val="none" w:sz="0" w:space="0" w:color="auto"/>
            <w:right w:val="none" w:sz="0" w:space="0" w:color="auto"/>
          </w:divBdr>
        </w:div>
        <w:div w:id="1229270556">
          <w:marLeft w:val="0"/>
          <w:marRight w:val="0"/>
          <w:marTop w:val="0"/>
          <w:marBottom w:val="0"/>
          <w:divBdr>
            <w:top w:val="none" w:sz="0" w:space="0" w:color="auto"/>
            <w:left w:val="none" w:sz="0" w:space="0" w:color="auto"/>
            <w:bottom w:val="none" w:sz="0" w:space="0" w:color="auto"/>
            <w:right w:val="none" w:sz="0" w:space="0" w:color="auto"/>
          </w:divBdr>
        </w:div>
        <w:div w:id="1014769718">
          <w:marLeft w:val="0"/>
          <w:marRight w:val="0"/>
          <w:marTop w:val="0"/>
          <w:marBottom w:val="0"/>
          <w:divBdr>
            <w:top w:val="none" w:sz="0" w:space="0" w:color="auto"/>
            <w:left w:val="none" w:sz="0" w:space="0" w:color="auto"/>
            <w:bottom w:val="none" w:sz="0" w:space="0" w:color="auto"/>
            <w:right w:val="none" w:sz="0" w:space="0" w:color="auto"/>
          </w:divBdr>
        </w:div>
        <w:div w:id="2139178431">
          <w:marLeft w:val="0"/>
          <w:marRight w:val="0"/>
          <w:marTop w:val="0"/>
          <w:marBottom w:val="0"/>
          <w:divBdr>
            <w:top w:val="none" w:sz="0" w:space="0" w:color="auto"/>
            <w:left w:val="none" w:sz="0" w:space="0" w:color="auto"/>
            <w:bottom w:val="none" w:sz="0" w:space="0" w:color="auto"/>
            <w:right w:val="none" w:sz="0" w:space="0" w:color="auto"/>
          </w:divBdr>
        </w:div>
        <w:div w:id="1482043287">
          <w:marLeft w:val="0"/>
          <w:marRight w:val="0"/>
          <w:marTop w:val="0"/>
          <w:marBottom w:val="0"/>
          <w:divBdr>
            <w:top w:val="none" w:sz="0" w:space="0" w:color="auto"/>
            <w:left w:val="none" w:sz="0" w:space="0" w:color="auto"/>
            <w:bottom w:val="none" w:sz="0" w:space="0" w:color="auto"/>
            <w:right w:val="none" w:sz="0" w:space="0" w:color="auto"/>
          </w:divBdr>
        </w:div>
        <w:div w:id="683554651">
          <w:marLeft w:val="0"/>
          <w:marRight w:val="0"/>
          <w:marTop w:val="0"/>
          <w:marBottom w:val="0"/>
          <w:divBdr>
            <w:top w:val="none" w:sz="0" w:space="0" w:color="auto"/>
            <w:left w:val="none" w:sz="0" w:space="0" w:color="auto"/>
            <w:bottom w:val="none" w:sz="0" w:space="0" w:color="auto"/>
            <w:right w:val="none" w:sz="0" w:space="0" w:color="auto"/>
          </w:divBdr>
        </w:div>
        <w:div w:id="2021271041">
          <w:marLeft w:val="0"/>
          <w:marRight w:val="0"/>
          <w:marTop w:val="0"/>
          <w:marBottom w:val="0"/>
          <w:divBdr>
            <w:top w:val="none" w:sz="0" w:space="0" w:color="auto"/>
            <w:left w:val="none" w:sz="0" w:space="0" w:color="auto"/>
            <w:bottom w:val="none" w:sz="0" w:space="0" w:color="auto"/>
            <w:right w:val="none" w:sz="0" w:space="0" w:color="auto"/>
          </w:divBdr>
        </w:div>
        <w:div w:id="1800562305">
          <w:marLeft w:val="0"/>
          <w:marRight w:val="0"/>
          <w:marTop w:val="0"/>
          <w:marBottom w:val="0"/>
          <w:divBdr>
            <w:top w:val="none" w:sz="0" w:space="0" w:color="auto"/>
            <w:left w:val="none" w:sz="0" w:space="0" w:color="auto"/>
            <w:bottom w:val="none" w:sz="0" w:space="0" w:color="auto"/>
            <w:right w:val="none" w:sz="0" w:space="0" w:color="auto"/>
          </w:divBdr>
        </w:div>
        <w:div w:id="1816296669">
          <w:marLeft w:val="0"/>
          <w:marRight w:val="0"/>
          <w:marTop w:val="0"/>
          <w:marBottom w:val="0"/>
          <w:divBdr>
            <w:top w:val="none" w:sz="0" w:space="0" w:color="auto"/>
            <w:left w:val="none" w:sz="0" w:space="0" w:color="auto"/>
            <w:bottom w:val="none" w:sz="0" w:space="0" w:color="auto"/>
            <w:right w:val="none" w:sz="0" w:space="0" w:color="auto"/>
          </w:divBdr>
        </w:div>
        <w:div w:id="1269003892">
          <w:marLeft w:val="0"/>
          <w:marRight w:val="0"/>
          <w:marTop w:val="0"/>
          <w:marBottom w:val="0"/>
          <w:divBdr>
            <w:top w:val="none" w:sz="0" w:space="0" w:color="auto"/>
            <w:left w:val="none" w:sz="0" w:space="0" w:color="auto"/>
            <w:bottom w:val="none" w:sz="0" w:space="0" w:color="auto"/>
            <w:right w:val="none" w:sz="0" w:space="0" w:color="auto"/>
          </w:divBdr>
        </w:div>
        <w:div w:id="1432240337">
          <w:marLeft w:val="0"/>
          <w:marRight w:val="0"/>
          <w:marTop w:val="0"/>
          <w:marBottom w:val="0"/>
          <w:divBdr>
            <w:top w:val="none" w:sz="0" w:space="0" w:color="auto"/>
            <w:left w:val="none" w:sz="0" w:space="0" w:color="auto"/>
            <w:bottom w:val="none" w:sz="0" w:space="0" w:color="auto"/>
            <w:right w:val="none" w:sz="0" w:space="0" w:color="auto"/>
          </w:divBdr>
        </w:div>
        <w:div w:id="616453885">
          <w:marLeft w:val="0"/>
          <w:marRight w:val="0"/>
          <w:marTop w:val="0"/>
          <w:marBottom w:val="0"/>
          <w:divBdr>
            <w:top w:val="none" w:sz="0" w:space="0" w:color="auto"/>
            <w:left w:val="none" w:sz="0" w:space="0" w:color="auto"/>
            <w:bottom w:val="none" w:sz="0" w:space="0" w:color="auto"/>
            <w:right w:val="none" w:sz="0" w:space="0" w:color="auto"/>
          </w:divBdr>
        </w:div>
        <w:div w:id="31925767">
          <w:marLeft w:val="0"/>
          <w:marRight w:val="0"/>
          <w:marTop w:val="0"/>
          <w:marBottom w:val="0"/>
          <w:divBdr>
            <w:top w:val="none" w:sz="0" w:space="0" w:color="auto"/>
            <w:left w:val="none" w:sz="0" w:space="0" w:color="auto"/>
            <w:bottom w:val="none" w:sz="0" w:space="0" w:color="auto"/>
            <w:right w:val="none" w:sz="0" w:space="0" w:color="auto"/>
          </w:divBdr>
        </w:div>
        <w:div w:id="1797213451">
          <w:marLeft w:val="0"/>
          <w:marRight w:val="0"/>
          <w:marTop w:val="0"/>
          <w:marBottom w:val="0"/>
          <w:divBdr>
            <w:top w:val="none" w:sz="0" w:space="0" w:color="auto"/>
            <w:left w:val="none" w:sz="0" w:space="0" w:color="auto"/>
            <w:bottom w:val="none" w:sz="0" w:space="0" w:color="auto"/>
            <w:right w:val="none" w:sz="0" w:space="0" w:color="auto"/>
          </w:divBdr>
        </w:div>
        <w:div w:id="1869030026">
          <w:marLeft w:val="0"/>
          <w:marRight w:val="0"/>
          <w:marTop w:val="0"/>
          <w:marBottom w:val="0"/>
          <w:divBdr>
            <w:top w:val="none" w:sz="0" w:space="0" w:color="auto"/>
            <w:left w:val="none" w:sz="0" w:space="0" w:color="auto"/>
            <w:bottom w:val="none" w:sz="0" w:space="0" w:color="auto"/>
            <w:right w:val="none" w:sz="0" w:space="0" w:color="auto"/>
          </w:divBdr>
        </w:div>
        <w:div w:id="1954507932">
          <w:marLeft w:val="0"/>
          <w:marRight w:val="0"/>
          <w:marTop w:val="0"/>
          <w:marBottom w:val="0"/>
          <w:divBdr>
            <w:top w:val="none" w:sz="0" w:space="0" w:color="auto"/>
            <w:left w:val="none" w:sz="0" w:space="0" w:color="auto"/>
            <w:bottom w:val="none" w:sz="0" w:space="0" w:color="auto"/>
            <w:right w:val="none" w:sz="0" w:space="0" w:color="auto"/>
          </w:divBdr>
        </w:div>
        <w:div w:id="1055540605">
          <w:marLeft w:val="0"/>
          <w:marRight w:val="0"/>
          <w:marTop w:val="0"/>
          <w:marBottom w:val="0"/>
          <w:divBdr>
            <w:top w:val="none" w:sz="0" w:space="0" w:color="auto"/>
            <w:left w:val="none" w:sz="0" w:space="0" w:color="auto"/>
            <w:bottom w:val="none" w:sz="0" w:space="0" w:color="auto"/>
            <w:right w:val="none" w:sz="0" w:space="0" w:color="auto"/>
          </w:divBdr>
        </w:div>
        <w:div w:id="1393701629">
          <w:marLeft w:val="0"/>
          <w:marRight w:val="0"/>
          <w:marTop w:val="0"/>
          <w:marBottom w:val="0"/>
          <w:divBdr>
            <w:top w:val="none" w:sz="0" w:space="0" w:color="auto"/>
            <w:left w:val="none" w:sz="0" w:space="0" w:color="auto"/>
            <w:bottom w:val="none" w:sz="0" w:space="0" w:color="auto"/>
            <w:right w:val="none" w:sz="0" w:space="0" w:color="auto"/>
          </w:divBdr>
        </w:div>
        <w:div w:id="510872194">
          <w:marLeft w:val="0"/>
          <w:marRight w:val="0"/>
          <w:marTop w:val="0"/>
          <w:marBottom w:val="0"/>
          <w:divBdr>
            <w:top w:val="none" w:sz="0" w:space="0" w:color="auto"/>
            <w:left w:val="none" w:sz="0" w:space="0" w:color="auto"/>
            <w:bottom w:val="none" w:sz="0" w:space="0" w:color="auto"/>
            <w:right w:val="none" w:sz="0" w:space="0" w:color="auto"/>
          </w:divBdr>
        </w:div>
        <w:div w:id="554968405">
          <w:marLeft w:val="0"/>
          <w:marRight w:val="0"/>
          <w:marTop w:val="0"/>
          <w:marBottom w:val="0"/>
          <w:divBdr>
            <w:top w:val="none" w:sz="0" w:space="0" w:color="auto"/>
            <w:left w:val="none" w:sz="0" w:space="0" w:color="auto"/>
            <w:bottom w:val="none" w:sz="0" w:space="0" w:color="auto"/>
            <w:right w:val="none" w:sz="0" w:space="0" w:color="auto"/>
          </w:divBdr>
        </w:div>
        <w:div w:id="563762375">
          <w:marLeft w:val="0"/>
          <w:marRight w:val="0"/>
          <w:marTop w:val="0"/>
          <w:marBottom w:val="0"/>
          <w:divBdr>
            <w:top w:val="none" w:sz="0" w:space="0" w:color="auto"/>
            <w:left w:val="none" w:sz="0" w:space="0" w:color="auto"/>
            <w:bottom w:val="none" w:sz="0" w:space="0" w:color="auto"/>
            <w:right w:val="none" w:sz="0" w:space="0" w:color="auto"/>
          </w:divBdr>
        </w:div>
        <w:div w:id="573467817">
          <w:marLeft w:val="0"/>
          <w:marRight w:val="0"/>
          <w:marTop w:val="0"/>
          <w:marBottom w:val="0"/>
          <w:divBdr>
            <w:top w:val="none" w:sz="0" w:space="0" w:color="auto"/>
            <w:left w:val="none" w:sz="0" w:space="0" w:color="auto"/>
            <w:bottom w:val="none" w:sz="0" w:space="0" w:color="auto"/>
            <w:right w:val="none" w:sz="0" w:space="0" w:color="auto"/>
          </w:divBdr>
        </w:div>
        <w:div w:id="1763188153">
          <w:marLeft w:val="0"/>
          <w:marRight w:val="0"/>
          <w:marTop w:val="0"/>
          <w:marBottom w:val="0"/>
          <w:divBdr>
            <w:top w:val="none" w:sz="0" w:space="0" w:color="auto"/>
            <w:left w:val="none" w:sz="0" w:space="0" w:color="auto"/>
            <w:bottom w:val="none" w:sz="0" w:space="0" w:color="auto"/>
            <w:right w:val="none" w:sz="0" w:space="0" w:color="auto"/>
          </w:divBdr>
        </w:div>
        <w:div w:id="1654720330">
          <w:marLeft w:val="0"/>
          <w:marRight w:val="0"/>
          <w:marTop w:val="0"/>
          <w:marBottom w:val="0"/>
          <w:divBdr>
            <w:top w:val="none" w:sz="0" w:space="0" w:color="auto"/>
            <w:left w:val="none" w:sz="0" w:space="0" w:color="auto"/>
            <w:bottom w:val="none" w:sz="0" w:space="0" w:color="auto"/>
            <w:right w:val="none" w:sz="0" w:space="0" w:color="auto"/>
          </w:divBdr>
        </w:div>
        <w:div w:id="1975673282">
          <w:marLeft w:val="0"/>
          <w:marRight w:val="0"/>
          <w:marTop w:val="0"/>
          <w:marBottom w:val="0"/>
          <w:divBdr>
            <w:top w:val="none" w:sz="0" w:space="0" w:color="auto"/>
            <w:left w:val="none" w:sz="0" w:space="0" w:color="auto"/>
            <w:bottom w:val="none" w:sz="0" w:space="0" w:color="auto"/>
            <w:right w:val="none" w:sz="0" w:space="0" w:color="auto"/>
          </w:divBdr>
        </w:div>
        <w:div w:id="2091000092">
          <w:marLeft w:val="0"/>
          <w:marRight w:val="0"/>
          <w:marTop w:val="0"/>
          <w:marBottom w:val="0"/>
          <w:divBdr>
            <w:top w:val="none" w:sz="0" w:space="0" w:color="auto"/>
            <w:left w:val="none" w:sz="0" w:space="0" w:color="auto"/>
            <w:bottom w:val="none" w:sz="0" w:space="0" w:color="auto"/>
            <w:right w:val="none" w:sz="0" w:space="0" w:color="auto"/>
          </w:divBdr>
        </w:div>
        <w:div w:id="275529197">
          <w:marLeft w:val="0"/>
          <w:marRight w:val="0"/>
          <w:marTop w:val="0"/>
          <w:marBottom w:val="0"/>
          <w:divBdr>
            <w:top w:val="none" w:sz="0" w:space="0" w:color="auto"/>
            <w:left w:val="none" w:sz="0" w:space="0" w:color="auto"/>
            <w:bottom w:val="none" w:sz="0" w:space="0" w:color="auto"/>
            <w:right w:val="none" w:sz="0" w:space="0" w:color="auto"/>
          </w:divBdr>
        </w:div>
        <w:div w:id="1564177536">
          <w:marLeft w:val="0"/>
          <w:marRight w:val="0"/>
          <w:marTop w:val="0"/>
          <w:marBottom w:val="0"/>
          <w:divBdr>
            <w:top w:val="none" w:sz="0" w:space="0" w:color="auto"/>
            <w:left w:val="none" w:sz="0" w:space="0" w:color="auto"/>
            <w:bottom w:val="none" w:sz="0" w:space="0" w:color="auto"/>
            <w:right w:val="none" w:sz="0" w:space="0" w:color="auto"/>
          </w:divBdr>
        </w:div>
        <w:div w:id="179317320">
          <w:marLeft w:val="0"/>
          <w:marRight w:val="0"/>
          <w:marTop w:val="0"/>
          <w:marBottom w:val="0"/>
          <w:divBdr>
            <w:top w:val="none" w:sz="0" w:space="0" w:color="auto"/>
            <w:left w:val="none" w:sz="0" w:space="0" w:color="auto"/>
            <w:bottom w:val="none" w:sz="0" w:space="0" w:color="auto"/>
            <w:right w:val="none" w:sz="0" w:space="0" w:color="auto"/>
          </w:divBdr>
        </w:div>
        <w:div w:id="547226516">
          <w:marLeft w:val="0"/>
          <w:marRight w:val="0"/>
          <w:marTop w:val="0"/>
          <w:marBottom w:val="0"/>
          <w:divBdr>
            <w:top w:val="none" w:sz="0" w:space="0" w:color="auto"/>
            <w:left w:val="none" w:sz="0" w:space="0" w:color="auto"/>
            <w:bottom w:val="none" w:sz="0" w:space="0" w:color="auto"/>
            <w:right w:val="none" w:sz="0" w:space="0" w:color="auto"/>
          </w:divBdr>
        </w:div>
        <w:div w:id="1773747997">
          <w:marLeft w:val="0"/>
          <w:marRight w:val="0"/>
          <w:marTop w:val="0"/>
          <w:marBottom w:val="0"/>
          <w:divBdr>
            <w:top w:val="none" w:sz="0" w:space="0" w:color="auto"/>
            <w:left w:val="none" w:sz="0" w:space="0" w:color="auto"/>
            <w:bottom w:val="none" w:sz="0" w:space="0" w:color="auto"/>
            <w:right w:val="none" w:sz="0" w:space="0" w:color="auto"/>
          </w:divBdr>
        </w:div>
        <w:div w:id="611210169">
          <w:marLeft w:val="0"/>
          <w:marRight w:val="0"/>
          <w:marTop w:val="0"/>
          <w:marBottom w:val="0"/>
          <w:divBdr>
            <w:top w:val="none" w:sz="0" w:space="0" w:color="auto"/>
            <w:left w:val="none" w:sz="0" w:space="0" w:color="auto"/>
            <w:bottom w:val="none" w:sz="0" w:space="0" w:color="auto"/>
            <w:right w:val="none" w:sz="0" w:space="0" w:color="auto"/>
          </w:divBdr>
        </w:div>
        <w:div w:id="1549367878">
          <w:marLeft w:val="0"/>
          <w:marRight w:val="0"/>
          <w:marTop w:val="0"/>
          <w:marBottom w:val="0"/>
          <w:divBdr>
            <w:top w:val="none" w:sz="0" w:space="0" w:color="auto"/>
            <w:left w:val="none" w:sz="0" w:space="0" w:color="auto"/>
            <w:bottom w:val="none" w:sz="0" w:space="0" w:color="auto"/>
            <w:right w:val="none" w:sz="0" w:space="0" w:color="auto"/>
          </w:divBdr>
        </w:div>
        <w:div w:id="738331890">
          <w:marLeft w:val="0"/>
          <w:marRight w:val="0"/>
          <w:marTop w:val="0"/>
          <w:marBottom w:val="0"/>
          <w:divBdr>
            <w:top w:val="none" w:sz="0" w:space="0" w:color="auto"/>
            <w:left w:val="none" w:sz="0" w:space="0" w:color="auto"/>
            <w:bottom w:val="none" w:sz="0" w:space="0" w:color="auto"/>
            <w:right w:val="none" w:sz="0" w:space="0" w:color="auto"/>
          </w:divBdr>
        </w:div>
        <w:div w:id="987515696">
          <w:marLeft w:val="0"/>
          <w:marRight w:val="0"/>
          <w:marTop w:val="0"/>
          <w:marBottom w:val="0"/>
          <w:divBdr>
            <w:top w:val="none" w:sz="0" w:space="0" w:color="auto"/>
            <w:left w:val="none" w:sz="0" w:space="0" w:color="auto"/>
            <w:bottom w:val="none" w:sz="0" w:space="0" w:color="auto"/>
            <w:right w:val="none" w:sz="0" w:space="0" w:color="auto"/>
          </w:divBdr>
        </w:div>
        <w:div w:id="1669597889">
          <w:marLeft w:val="0"/>
          <w:marRight w:val="0"/>
          <w:marTop w:val="0"/>
          <w:marBottom w:val="0"/>
          <w:divBdr>
            <w:top w:val="none" w:sz="0" w:space="0" w:color="auto"/>
            <w:left w:val="none" w:sz="0" w:space="0" w:color="auto"/>
            <w:bottom w:val="none" w:sz="0" w:space="0" w:color="auto"/>
            <w:right w:val="none" w:sz="0" w:space="0" w:color="auto"/>
          </w:divBdr>
        </w:div>
        <w:div w:id="1633095573">
          <w:marLeft w:val="0"/>
          <w:marRight w:val="0"/>
          <w:marTop w:val="0"/>
          <w:marBottom w:val="0"/>
          <w:divBdr>
            <w:top w:val="none" w:sz="0" w:space="0" w:color="auto"/>
            <w:left w:val="none" w:sz="0" w:space="0" w:color="auto"/>
            <w:bottom w:val="none" w:sz="0" w:space="0" w:color="auto"/>
            <w:right w:val="none" w:sz="0" w:space="0" w:color="auto"/>
          </w:divBdr>
        </w:div>
        <w:div w:id="1253508548">
          <w:marLeft w:val="0"/>
          <w:marRight w:val="0"/>
          <w:marTop w:val="0"/>
          <w:marBottom w:val="0"/>
          <w:divBdr>
            <w:top w:val="none" w:sz="0" w:space="0" w:color="auto"/>
            <w:left w:val="none" w:sz="0" w:space="0" w:color="auto"/>
            <w:bottom w:val="none" w:sz="0" w:space="0" w:color="auto"/>
            <w:right w:val="none" w:sz="0" w:space="0" w:color="auto"/>
          </w:divBdr>
        </w:div>
        <w:div w:id="2069331825">
          <w:marLeft w:val="0"/>
          <w:marRight w:val="0"/>
          <w:marTop w:val="0"/>
          <w:marBottom w:val="0"/>
          <w:divBdr>
            <w:top w:val="none" w:sz="0" w:space="0" w:color="auto"/>
            <w:left w:val="none" w:sz="0" w:space="0" w:color="auto"/>
            <w:bottom w:val="none" w:sz="0" w:space="0" w:color="auto"/>
            <w:right w:val="none" w:sz="0" w:space="0" w:color="auto"/>
          </w:divBdr>
        </w:div>
        <w:div w:id="1611619781">
          <w:marLeft w:val="0"/>
          <w:marRight w:val="0"/>
          <w:marTop w:val="0"/>
          <w:marBottom w:val="0"/>
          <w:divBdr>
            <w:top w:val="none" w:sz="0" w:space="0" w:color="auto"/>
            <w:left w:val="none" w:sz="0" w:space="0" w:color="auto"/>
            <w:bottom w:val="none" w:sz="0" w:space="0" w:color="auto"/>
            <w:right w:val="none" w:sz="0" w:space="0" w:color="auto"/>
          </w:divBdr>
        </w:div>
        <w:div w:id="2082172198">
          <w:marLeft w:val="0"/>
          <w:marRight w:val="0"/>
          <w:marTop w:val="0"/>
          <w:marBottom w:val="0"/>
          <w:divBdr>
            <w:top w:val="none" w:sz="0" w:space="0" w:color="auto"/>
            <w:left w:val="none" w:sz="0" w:space="0" w:color="auto"/>
            <w:bottom w:val="none" w:sz="0" w:space="0" w:color="auto"/>
            <w:right w:val="none" w:sz="0" w:space="0" w:color="auto"/>
          </w:divBdr>
        </w:div>
        <w:div w:id="334769593">
          <w:marLeft w:val="0"/>
          <w:marRight w:val="0"/>
          <w:marTop w:val="0"/>
          <w:marBottom w:val="0"/>
          <w:divBdr>
            <w:top w:val="none" w:sz="0" w:space="0" w:color="auto"/>
            <w:left w:val="none" w:sz="0" w:space="0" w:color="auto"/>
            <w:bottom w:val="none" w:sz="0" w:space="0" w:color="auto"/>
            <w:right w:val="none" w:sz="0" w:space="0" w:color="auto"/>
          </w:divBdr>
        </w:div>
        <w:div w:id="939339772">
          <w:marLeft w:val="0"/>
          <w:marRight w:val="0"/>
          <w:marTop w:val="0"/>
          <w:marBottom w:val="0"/>
          <w:divBdr>
            <w:top w:val="none" w:sz="0" w:space="0" w:color="auto"/>
            <w:left w:val="none" w:sz="0" w:space="0" w:color="auto"/>
            <w:bottom w:val="none" w:sz="0" w:space="0" w:color="auto"/>
            <w:right w:val="none" w:sz="0" w:space="0" w:color="auto"/>
          </w:divBdr>
        </w:div>
        <w:div w:id="1326589137">
          <w:marLeft w:val="0"/>
          <w:marRight w:val="0"/>
          <w:marTop w:val="0"/>
          <w:marBottom w:val="0"/>
          <w:divBdr>
            <w:top w:val="none" w:sz="0" w:space="0" w:color="auto"/>
            <w:left w:val="none" w:sz="0" w:space="0" w:color="auto"/>
            <w:bottom w:val="none" w:sz="0" w:space="0" w:color="auto"/>
            <w:right w:val="none" w:sz="0" w:space="0" w:color="auto"/>
          </w:divBdr>
        </w:div>
        <w:div w:id="1837186550">
          <w:marLeft w:val="0"/>
          <w:marRight w:val="0"/>
          <w:marTop w:val="0"/>
          <w:marBottom w:val="0"/>
          <w:divBdr>
            <w:top w:val="none" w:sz="0" w:space="0" w:color="auto"/>
            <w:left w:val="none" w:sz="0" w:space="0" w:color="auto"/>
            <w:bottom w:val="none" w:sz="0" w:space="0" w:color="auto"/>
            <w:right w:val="none" w:sz="0" w:space="0" w:color="auto"/>
          </w:divBdr>
        </w:div>
        <w:div w:id="171647547">
          <w:marLeft w:val="0"/>
          <w:marRight w:val="0"/>
          <w:marTop w:val="0"/>
          <w:marBottom w:val="0"/>
          <w:divBdr>
            <w:top w:val="none" w:sz="0" w:space="0" w:color="auto"/>
            <w:left w:val="none" w:sz="0" w:space="0" w:color="auto"/>
            <w:bottom w:val="none" w:sz="0" w:space="0" w:color="auto"/>
            <w:right w:val="none" w:sz="0" w:space="0" w:color="auto"/>
          </w:divBdr>
        </w:div>
        <w:div w:id="397292724">
          <w:marLeft w:val="0"/>
          <w:marRight w:val="0"/>
          <w:marTop w:val="0"/>
          <w:marBottom w:val="0"/>
          <w:divBdr>
            <w:top w:val="none" w:sz="0" w:space="0" w:color="auto"/>
            <w:left w:val="none" w:sz="0" w:space="0" w:color="auto"/>
            <w:bottom w:val="none" w:sz="0" w:space="0" w:color="auto"/>
            <w:right w:val="none" w:sz="0" w:space="0" w:color="auto"/>
          </w:divBdr>
        </w:div>
        <w:div w:id="50619283">
          <w:marLeft w:val="0"/>
          <w:marRight w:val="0"/>
          <w:marTop w:val="0"/>
          <w:marBottom w:val="0"/>
          <w:divBdr>
            <w:top w:val="none" w:sz="0" w:space="0" w:color="auto"/>
            <w:left w:val="none" w:sz="0" w:space="0" w:color="auto"/>
            <w:bottom w:val="none" w:sz="0" w:space="0" w:color="auto"/>
            <w:right w:val="none" w:sz="0" w:space="0" w:color="auto"/>
          </w:divBdr>
        </w:div>
        <w:div w:id="1415862846">
          <w:marLeft w:val="0"/>
          <w:marRight w:val="0"/>
          <w:marTop w:val="0"/>
          <w:marBottom w:val="0"/>
          <w:divBdr>
            <w:top w:val="none" w:sz="0" w:space="0" w:color="auto"/>
            <w:left w:val="none" w:sz="0" w:space="0" w:color="auto"/>
            <w:bottom w:val="none" w:sz="0" w:space="0" w:color="auto"/>
            <w:right w:val="none" w:sz="0" w:space="0" w:color="auto"/>
          </w:divBdr>
        </w:div>
        <w:div w:id="539363246">
          <w:marLeft w:val="0"/>
          <w:marRight w:val="0"/>
          <w:marTop w:val="0"/>
          <w:marBottom w:val="0"/>
          <w:divBdr>
            <w:top w:val="none" w:sz="0" w:space="0" w:color="auto"/>
            <w:left w:val="none" w:sz="0" w:space="0" w:color="auto"/>
            <w:bottom w:val="none" w:sz="0" w:space="0" w:color="auto"/>
            <w:right w:val="none" w:sz="0" w:space="0" w:color="auto"/>
          </w:divBdr>
        </w:div>
        <w:div w:id="1464081424">
          <w:marLeft w:val="0"/>
          <w:marRight w:val="0"/>
          <w:marTop w:val="0"/>
          <w:marBottom w:val="0"/>
          <w:divBdr>
            <w:top w:val="none" w:sz="0" w:space="0" w:color="auto"/>
            <w:left w:val="none" w:sz="0" w:space="0" w:color="auto"/>
            <w:bottom w:val="none" w:sz="0" w:space="0" w:color="auto"/>
            <w:right w:val="none" w:sz="0" w:space="0" w:color="auto"/>
          </w:divBdr>
        </w:div>
        <w:div w:id="263998508">
          <w:marLeft w:val="0"/>
          <w:marRight w:val="0"/>
          <w:marTop w:val="0"/>
          <w:marBottom w:val="0"/>
          <w:divBdr>
            <w:top w:val="none" w:sz="0" w:space="0" w:color="auto"/>
            <w:left w:val="none" w:sz="0" w:space="0" w:color="auto"/>
            <w:bottom w:val="none" w:sz="0" w:space="0" w:color="auto"/>
            <w:right w:val="none" w:sz="0" w:space="0" w:color="auto"/>
          </w:divBdr>
        </w:div>
        <w:div w:id="2080637087">
          <w:marLeft w:val="0"/>
          <w:marRight w:val="0"/>
          <w:marTop w:val="0"/>
          <w:marBottom w:val="0"/>
          <w:divBdr>
            <w:top w:val="none" w:sz="0" w:space="0" w:color="auto"/>
            <w:left w:val="none" w:sz="0" w:space="0" w:color="auto"/>
            <w:bottom w:val="none" w:sz="0" w:space="0" w:color="auto"/>
            <w:right w:val="none" w:sz="0" w:space="0" w:color="auto"/>
          </w:divBdr>
        </w:div>
        <w:div w:id="949047853">
          <w:marLeft w:val="0"/>
          <w:marRight w:val="0"/>
          <w:marTop w:val="0"/>
          <w:marBottom w:val="0"/>
          <w:divBdr>
            <w:top w:val="none" w:sz="0" w:space="0" w:color="auto"/>
            <w:left w:val="none" w:sz="0" w:space="0" w:color="auto"/>
            <w:bottom w:val="none" w:sz="0" w:space="0" w:color="auto"/>
            <w:right w:val="none" w:sz="0" w:space="0" w:color="auto"/>
          </w:divBdr>
        </w:div>
        <w:div w:id="1921712397">
          <w:marLeft w:val="0"/>
          <w:marRight w:val="0"/>
          <w:marTop w:val="0"/>
          <w:marBottom w:val="0"/>
          <w:divBdr>
            <w:top w:val="none" w:sz="0" w:space="0" w:color="auto"/>
            <w:left w:val="none" w:sz="0" w:space="0" w:color="auto"/>
            <w:bottom w:val="none" w:sz="0" w:space="0" w:color="auto"/>
            <w:right w:val="none" w:sz="0" w:space="0" w:color="auto"/>
          </w:divBdr>
        </w:div>
        <w:div w:id="734624267">
          <w:marLeft w:val="0"/>
          <w:marRight w:val="0"/>
          <w:marTop w:val="0"/>
          <w:marBottom w:val="0"/>
          <w:divBdr>
            <w:top w:val="none" w:sz="0" w:space="0" w:color="auto"/>
            <w:left w:val="none" w:sz="0" w:space="0" w:color="auto"/>
            <w:bottom w:val="none" w:sz="0" w:space="0" w:color="auto"/>
            <w:right w:val="none" w:sz="0" w:space="0" w:color="auto"/>
          </w:divBdr>
        </w:div>
        <w:div w:id="657154110">
          <w:marLeft w:val="0"/>
          <w:marRight w:val="0"/>
          <w:marTop w:val="0"/>
          <w:marBottom w:val="0"/>
          <w:divBdr>
            <w:top w:val="none" w:sz="0" w:space="0" w:color="auto"/>
            <w:left w:val="none" w:sz="0" w:space="0" w:color="auto"/>
            <w:bottom w:val="none" w:sz="0" w:space="0" w:color="auto"/>
            <w:right w:val="none" w:sz="0" w:space="0" w:color="auto"/>
          </w:divBdr>
        </w:div>
        <w:div w:id="1255868008">
          <w:marLeft w:val="0"/>
          <w:marRight w:val="0"/>
          <w:marTop w:val="0"/>
          <w:marBottom w:val="0"/>
          <w:divBdr>
            <w:top w:val="none" w:sz="0" w:space="0" w:color="auto"/>
            <w:left w:val="none" w:sz="0" w:space="0" w:color="auto"/>
            <w:bottom w:val="none" w:sz="0" w:space="0" w:color="auto"/>
            <w:right w:val="none" w:sz="0" w:space="0" w:color="auto"/>
          </w:divBdr>
        </w:div>
        <w:div w:id="1538662255">
          <w:marLeft w:val="0"/>
          <w:marRight w:val="0"/>
          <w:marTop w:val="0"/>
          <w:marBottom w:val="0"/>
          <w:divBdr>
            <w:top w:val="none" w:sz="0" w:space="0" w:color="auto"/>
            <w:left w:val="none" w:sz="0" w:space="0" w:color="auto"/>
            <w:bottom w:val="none" w:sz="0" w:space="0" w:color="auto"/>
            <w:right w:val="none" w:sz="0" w:space="0" w:color="auto"/>
          </w:divBdr>
        </w:div>
        <w:div w:id="743533074">
          <w:marLeft w:val="0"/>
          <w:marRight w:val="0"/>
          <w:marTop w:val="0"/>
          <w:marBottom w:val="0"/>
          <w:divBdr>
            <w:top w:val="none" w:sz="0" w:space="0" w:color="auto"/>
            <w:left w:val="none" w:sz="0" w:space="0" w:color="auto"/>
            <w:bottom w:val="none" w:sz="0" w:space="0" w:color="auto"/>
            <w:right w:val="none" w:sz="0" w:space="0" w:color="auto"/>
          </w:divBdr>
        </w:div>
        <w:div w:id="1218279161">
          <w:marLeft w:val="0"/>
          <w:marRight w:val="0"/>
          <w:marTop w:val="0"/>
          <w:marBottom w:val="0"/>
          <w:divBdr>
            <w:top w:val="none" w:sz="0" w:space="0" w:color="auto"/>
            <w:left w:val="none" w:sz="0" w:space="0" w:color="auto"/>
            <w:bottom w:val="none" w:sz="0" w:space="0" w:color="auto"/>
            <w:right w:val="none" w:sz="0" w:space="0" w:color="auto"/>
          </w:divBdr>
        </w:div>
        <w:div w:id="165751142">
          <w:marLeft w:val="0"/>
          <w:marRight w:val="0"/>
          <w:marTop w:val="0"/>
          <w:marBottom w:val="0"/>
          <w:divBdr>
            <w:top w:val="none" w:sz="0" w:space="0" w:color="auto"/>
            <w:left w:val="none" w:sz="0" w:space="0" w:color="auto"/>
            <w:bottom w:val="none" w:sz="0" w:space="0" w:color="auto"/>
            <w:right w:val="none" w:sz="0" w:space="0" w:color="auto"/>
          </w:divBdr>
        </w:div>
        <w:div w:id="1329408140">
          <w:marLeft w:val="0"/>
          <w:marRight w:val="0"/>
          <w:marTop w:val="0"/>
          <w:marBottom w:val="0"/>
          <w:divBdr>
            <w:top w:val="none" w:sz="0" w:space="0" w:color="auto"/>
            <w:left w:val="none" w:sz="0" w:space="0" w:color="auto"/>
            <w:bottom w:val="none" w:sz="0" w:space="0" w:color="auto"/>
            <w:right w:val="none" w:sz="0" w:space="0" w:color="auto"/>
          </w:divBdr>
        </w:div>
        <w:div w:id="87241802">
          <w:marLeft w:val="0"/>
          <w:marRight w:val="0"/>
          <w:marTop w:val="0"/>
          <w:marBottom w:val="0"/>
          <w:divBdr>
            <w:top w:val="none" w:sz="0" w:space="0" w:color="auto"/>
            <w:left w:val="none" w:sz="0" w:space="0" w:color="auto"/>
            <w:bottom w:val="none" w:sz="0" w:space="0" w:color="auto"/>
            <w:right w:val="none" w:sz="0" w:space="0" w:color="auto"/>
          </w:divBdr>
        </w:div>
        <w:div w:id="2146270381">
          <w:marLeft w:val="0"/>
          <w:marRight w:val="0"/>
          <w:marTop w:val="0"/>
          <w:marBottom w:val="0"/>
          <w:divBdr>
            <w:top w:val="none" w:sz="0" w:space="0" w:color="auto"/>
            <w:left w:val="none" w:sz="0" w:space="0" w:color="auto"/>
            <w:bottom w:val="none" w:sz="0" w:space="0" w:color="auto"/>
            <w:right w:val="none" w:sz="0" w:space="0" w:color="auto"/>
          </w:divBdr>
        </w:div>
        <w:div w:id="1053383759">
          <w:marLeft w:val="0"/>
          <w:marRight w:val="0"/>
          <w:marTop w:val="0"/>
          <w:marBottom w:val="0"/>
          <w:divBdr>
            <w:top w:val="none" w:sz="0" w:space="0" w:color="auto"/>
            <w:left w:val="none" w:sz="0" w:space="0" w:color="auto"/>
            <w:bottom w:val="none" w:sz="0" w:space="0" w:color="auto"/>
            <w:right w:val="none" w:sz="0" w:space="0" w:color="auto"/>
          </w:divBdr>
        </w:div>
        <w:div w:id="1825462230">
          <w:marLeft w:val="0"/>
          <w:marRight w:val="0"/>
          <w:marTop w:val="0"/>
          <w:marBottom w:val="0"/>
          <w:divBdr>
            <w:top w:val="none" w:sz="0" w:space="0" w:color="auto"/>
            <w:left w:val="none" w:sz="0" w:space="0" w:color="auto"/>
            <w:bottom w:val="none" w:sz="0" w:space="0" w:color="auto"/>
            <w:right w:val="none" w:sz="0" w:space="0" w:color="auto"/>
          </w:divBdr>
        </w:div>
        <w:div w:id="203443575">
          <w:marLeft w:val="0"/>
          <w:marRight w:val="0"/>
          <w:marTop w:val="0"/>
          <w:marBottom w:val="0"/>
          <w:divBdr>
            <w:top w:val="none" w:sz="0" w:space="0" w:color="auto"/>
            <w:left w:val="none" w:sz="0" w:space="0" w:color="auto"/>
            <w:bottom w:val="none" w:sz="0" w:space="0" w:color="auto"/>
            <w:right w:val="none" w:sz="0" w:space="0" w:color="auto"/>
          </w:divBdr>
        </w:div>
        <w:div w:id="251360239">
          <w:marLeft w:val="0"/>
          <w:marRight w:val="0"/>
          <w:marTop w:val="0"/>
          <w:marBottom w:val="0"/>
          <w:divBdr>
            <w:top w:val="none" w:sz="0" w:space="0" w:color="auto"/>
            <w:left w:val="none" w:sz="0" w:space="0" w:color="auto"/>
            <w:bottom w:val="none" w:sz="0" w:space="0" w:color="auto"/>
            <w:right w:val="none" w:sz="0" w:space="0" w:color="auto"/>
          </w:divBdr>
        </w:div>
        <w:div w:id="806817074">
          <w:marLeft w:val="0"/>
          <w:marRight w:val="0"/>
          <w:marTop w:val="0"/>
          <w:marBottom w:val="0"/>
          <w:divBdr>
            <w:top w:val="none" w:sz="0" w:space="0" w:color="auto"/>
            <w:left w:val="none" w:sz="0" w:space="0" w:color="auto"/>
            <w:bottom w:val="none" w:sz="0" w:space="0" w:color="auto"/>
            <w:right w:val="none" w:sz="0" w:space="0" w:color="auto"/>
          </w:divBdr>
        </w:div>
        <w:div w:id="804932132">
          <w:marLeft w:val="0"/>
          <w:marRight w:val="0"/>
          <w:marTop w:val="0"/>
          <w:marBottom w:val="0"/>
          <w:divBdr>
            <w:top w:val="none" w:sz="0" w:space="0" w:color="auto"/>
            <w:left w:val="none" w:sz="0" w:space="0" w:color="auto"/>
            <w:bottom w:val="none" w:sz="0" w:space="0" w:color="auto"/>
            <w:right w:val="none" w:sz="0" w:space="0" w:color="auto"/>
          </w:divBdr>
        </w:div>
        <w:div w:id="1470705830">
          <w:marLeft w:val="0"/>
          <w:marRight w:val="0"/>
          <w:marTop w:val="0"/>
          <w:marBottom w:val="0"/>
          <w:divBdr>
            <w:top w:val="none" w:sz="0" w:space="0" w:color="auto"/>
            <w:left w:val="none" w:sz="0" w:space="0" w:color="auto"/>
            <w:bottom w:val="none" w:sz="0" w:space="0" w:color="auto"/>
            <w:right w:val="none" w:sz="0" w:space="0" w:color="auto"/>
          </w:divBdr>
        </w:div>
        <w:div w:id="972296729">
          <w:marLeft w:val="0"/>
          <w:marRight w:val="0"/>
          <w:marTop w:val="0"/>
          <w:marBottom w:val="0"/>
          <w:divBdr>
            <w:top w:val="none" w:sz="0" w:space="0" w:color="auto"/>
            <w:left w:val="none" w:sz="0" w:space="0" w:color="auto"/>
            <w:bottom w:val="none" w:sz="0" w:space="0" w:color="auto"/>
            <w:right w:val="none" w:sz="0" w:space="0" w:color="auto"/>
          </w:divBdr>
        </w:div>
        <w:div w:id="1273053098">
          <w:marLeft w:val="0"/>
          <w:marRight w:val="0"/>
          <w:marTop w:val="0"/>
          <w:marBottom w:val="0"/>
          <w:divBdr>
            <w:top w:val="none" w:sz="0" w:space="0" w:color="auto"/>
            <w:left w:val="none" w:sz="0" w:space="0" w:color="auto"/>
            <w:bottom w:val="none" w:sz="0" w:space="0" w:color="auto"/>
            <w:right w:val="none" w:sz="0" w:space="0" w:color="auto"/>
          </w:divBdr>
        </w:div>
        <w:div w:id="1950164244">
          <w:marLeft w:val="0"/>
          <w:marRight w:val="0"/>
          <w:marTop w:val="0"/>
          <w:marBottom w:val="0"/>
          <w:divBdr>
            <w:top w:val="none" w:sz="0" w:space="0" w:color="auto"/>
            <w:left w:val="none" w:sz="0" w:space="0" w:color="auto"/>
            <w:bottom w:val="none" w:sz="0" w:space="0" w:color="auto"/>
            <w:right w:val="none" w:sz="0" w:space="0" w:color="auto"/>
          </w:divBdr>
        </w:div>
        <w:div w:id="166286806">
          <w:marLeft w:val="0"/>
          <w:marRight w:val="0"/>
          <w:marTop w:val="0"/>
          <w:marBottom w:val="0"/>
          <w:divBdr>
            <w:top w:val="none" w:sz="0" w:space="0" w:color="auto"/>
            <w:left w:val="none" w:sz="0" w:space="0" w:color="auto"/>
            <w:bottom w:val="none" w:sz="0" w:space="0" w:color="auto"/>
            <w:right w:val="none" w:sz="0" w:space="0" w:color="auto"/>
          </w:divBdr>
        </w:div>
        <w:div w:id="1750813544">
          <w:marLeft w:val="0"/>
          <w:marRight w:val="0"/>
          <w:marTop w:val="0"/>
          <w:marBottom w:val="0"/>
          <w:divBdr>
            <w:top w:val="none" w:sz="0" w:space="0" w:color="auto"/>
            <w:left w:val="none" w:sz="0" w:space="0" w:color="auto"/>
            <w:bottom w:val="none" w:sz="0" w:space="0" w:color="auto"/>
            <w:right w:val="none" w:sz="0" w:space="0" w:color="auto"/>
          </w:divBdr>
        </w:div>
        <w:div w:id="302196720">
          <w:marLeft w:val="0"/>
          <w:marRight w:val="0"/>
          <w:marTop w:val="0"/>
          <w:marBottom w:val="0"/>
          <w:divBdr>
            <w:top w:val="none" w:sz="0" w:space="0" w:color="auto"/>
            <w:left w:val="none" w:sz="0" w:space="0" w:color="auto"/>
            <w:bottom w:val="none" w:sz="0" w:space="0" w:color="auto"/>
            <w:right w:val="none" w:sz="0" w:space="0" w:color="auto"/>
          </w:divBdr>
        </w:div>
        <w:div w:id="317809029">
          <w:marLeft w:val="0"/>
          <w:marRight w:val="0"/>
          <w:marTop w:val="0"/>
          <w:marBottom w:val="0"/>
          <w:divBdr>
            <w:top w:val="none" w:sz="0" w:space="0" w:color="auto"/>
            <w:left w:val="none" w:sz="0" w:space="0" w:color="auto"/>
            <w:bottom w:val="none" w:sz="0" w:space="0" w:color="auto"/>
            <w:right w:val="none" w:sz="0" w:space="0" w:color="auto"/>
          </w:divBdr>
        </w:div>
        <w:div w:id="926114877">
          <w:marLeft w:val="0"/>
          <w:marRight w:val="0"/>
          <w:marTop w:val="0"/>
          <w:marBottom w:val="0"/>
          <w:divBdr>
            <w:top w:val="none" w:sz="0" w:space="0" w:color="auto"/>
            <w:left w:val="none" w:sz="0" w:space="0" w:color="auto"/>
            <w:bottom w:val="none" w:sz="0" w:space="0" w:color="auto"/>
            <w:right w:val="none" w:sz="0" w:space="0" w:color="auto"/>
          </w:divBdr>
        </w:div>
        <w:div w:id="441804689">
          <w:marLeft w:val="0"/>
          <w:marRight w:val="0"/>
          <w:marTop w:val="0"/>
          <w:marBottom w:val="0"/>
          <w:divBdr>
            <w:top w:val="none" w:sz="0" w:space="0" w:color="auto"/>
            <w:left w:val="none" w:sz="0" w:space="0" w:color="auto"/>
            <w:bottom w:val="none" w:sz="0" w:space="0" w:color="auto"/>
            <w:right w:val="none" w:sz="0" w:space="0" w:color="auto"/>
          </w:divBdr>
        </w:div>
        <w:div w:id="1720200970">
          <w:marLeft w:val="0"/>
          <w:marRight w:val="0"/>
          <w:marTop w:val="0"/>
          <w:marBottom w:val="0"/>
          <w:divBdr>
            <w:top w:val="none" w:sz="0" w:space="0" w:color="auto"/>
            <w:left w:val="none" w:sz="0" w:space="0" w:color="auto"/>
            <w:bottom w:val="none" w:sz="0" w:space="0" w:color="auto"/>
            <w:right w:val="none" w:sz="0" w:space="0" w:color="auto"/>
          </w:divBdr>
        </w:div>
        <w:div w:id="1229147726">
          <w:marLeft w:val="0"/>
          <w:marRight w:val="0"/>
          <w:marTop w:val="0"/>
          <w:marBottom w:val="0"/>
          <w:divBdr>
            <w:top w:val="none" w:sz="0" w:space="0" w:color="auto"/>
            <w:left w:val="none" w:sz="0" w:space="0" w:color="auto"/>
            <w:bottom w:val="none" w:sz="0" w:space="0" w:color="auto"/>
            <w:right w:val="none" w:sz="0" w:space="0" w:color="auto"/>
          </w:divBdr>
        </w:div>
        <w:div w:id="2124693275">
          <w:marLeft w:val="0"/>
          <w:marRight w:val="0"/>
          <w:marTop w:val="0"/>
          <w:marBottom w:val="0"/>
          <w:divBdr>
            <w:top w:val="none" w:sz="0" w:space="0" w:color="auto"/>
            <w:left w:val="none" w:sz="0" w:space="0" w:color="auto"/>
            <w:bottom w:val="none" w:sz="0" w:space="0" w:color="auto"/>
            <w:right w:val="none" w:sz="0" w:space="0" w:color="auto"/>
          </w:divBdr>
        </w:div>
        <w:div w:id="1871332926">
          <w:marLeft w:val="0"/>
          <w:marRight w:val="0"/>
          <w:marTop w:val="0"/>
          <w:marBottom w:val="0"/>
          <w:divBdr>
            <w:top w:val="none" w:sz="0" w:space="0" w:color="auto"/>
            <w:left w:val="none" w:sz="0" w:space="0" w:color="auto"/>
            <w:bottom w:val="none" w:sz="0" w:space="0" w:color="auto"/>
            <w:right w:val="none" w:sz="0" w:space="0" w:color="auto"/>
          </w:divBdr>
        </w:div>
        <w:div w:id="1006177545">
          <w:marLeft w:val="0"/>
          <w:marRight w:val="0"/>
          <w:marTop w:val="0"/>
          <w:marBottom w:val="0"/>
          <w:divBdr>
            <w:top w:val="none" w:sz="0" w:space="0" w:color="auto"/>
            <w:left w:val="none" w:sz="0" w:space="0" w:color="auto"/>
            <w:bottom w:val="none" w:sz="0" w:space="0" w:color="auto"/>
            <w:right w:val="none" w:sz="0" w:space="0" w:color="auto"/>
          </w:divBdr>
        </w:div>
        <w:div w:id="1248033185">
          <w:marLeft w:val="0"/>
          <w:marRight w:val="0"/>
          <w:marTop w:val="0"/>
          <w:marBottom w:val="0"/>
          <w:divBdr>
            <w:top w:val="none" w:sz="0" w:space="0" w:color="auto"/>
            <w:left w:val="none" w:sz="0" w:space="0" w:color="auto"/>
            <w:bottom w:val="none" w:sz="0" w:space="0" w:color="auto"/>
            <w:right w:val="none" w:sz="0" w:space="0" w:color="auto"/>
          </w:divBdr>
        </w:div>
        <w:div w:id="274948753">
          <w:marLeft w:val="0"/>
          <w:marRight w:val="0"/>
          <w:marTop w:val="0"/>
          <w:marBottom w:val="0"/>
          <w:divBdr>
            <w:top w:val="none" w:sz="0" w:space="0" w:color="auto"/>
            <w:left w:val="none" w:sz="0" w:space="0" w:color="auto"/>
            <w:bottom w:val="none" w:sz="0" w:space="0" w:color="auto"/>
            <w:right w:val="none" w:sz="0" w:space="0" w:color="auto"/>
          </w:divBdr>
        </w:div>
        <w:div w:id="719523523">
          <w:marLeft w:val="0"/>
          <w:marRight w:val="0"/>
          <w:marTop w:val="0"/>
          <w:marBottom w:val="0"/>
          <w:divBdr>
            <w:top w:val="none" w:sz="0" w:space="0" w:color="auto"/>
            <w:left w:val="none" w:sz="0" w:space="0" w:color="auto"/>
            <w:bottom w:val="none" w:sz="0" w:space="0" w:color="auto"/>
            <w:right w:val="none" w:sz="0" w:space="0" w:color="auto"/>
          </w:divBdr>
        </w:div>
      </w:divsChild>
    </w:div>
    <w:div w:id="1350987557">
      <w:bodyDiv w:val="1"/>
      <w:marLeft w:val="0"/>
      <w:marRight w:val="0"/>
      <w:marTop w:val="0"/>
      <w:marBottom w:val="0"/>
      <w:divBdr>
        <w:top w:val="none" w:sz="0" w:space="0" w:color="auto"/>
        <w:left w:val="none" w:sz="0" w:space="0" w:color="auto"/>
        <w:bottom w:val="none" w:sz="0" w:space="0" w:color="auto"/>
        <w:right w:val="none" w:sz="0" w:space="0" w:color="auto"/>
      </w:divBdr>
    </w:div>
    <w:div w:id="1361929181">
      <w:bodyDiv w:val="1"/>
      <w:marLeft w:val="0"/>
      <w:marRight w:val="0"/>
      <w:marTop w:val="0"/>
      <w:marBottom w:val="0"/>
      <w:divBdr>
        <w:top w:val="none" w:sz="0" w:space="0" w:color="auto"/>
        <w:left w:val="none" w:sz="0" w:space="0" w:color="auto"/>
        <w:bottom w:val="none" w:sz="0" w:space="0" w:color="auto"/>
        <w:right w:val="none" w:sz="0" w:space="0" w:color="auto"/>
      </w:divBdr>
    </w:div>
    <w:div w:id="1582250180">
      <w:bodyDiv w:val="1"/>
      <w:marLeft w:val="0"/>
      <w:marRight w:val="0"/>
      <w:marTop w:val="0"/>
      <w:marBottom w:val="0"/>
      <w:divBdr>
        <w:top w:val="none" w:sz="0" w:space="0" w:color="auto"/>
        <w:left w:val="none" w:sz="0" w:space="0" w:color="auto"/>
        <w:bottom w:val="none" w:sz="0" w:space="0" w:color="auto"/>
        <w:right w:val="none" w:sz="0" w:space="0" w:color="auto"/>
      </w:divBdr>
      <w:divsChild>
        <w:div w:id="183860273">
          <w:marLeft w:val="446"/>
          <w:marRight w:val="0"/>
          <w:marTop w:val="77"/>
          <w:marBottom w:val="0"/>
          <w:divBdr>
            <w:top w:val="none" w:sz="0" w:space="0" w:color="auto"/>
            <w:left w:val="none" w:sz="0" w:space="0" w:color="auto"/>
            <w:bottom w:val="none" w:sz="0" w:space="0" w:color="auto"/>
            <w:right w:val="none" w:sz="0" w:space="0" w:color="auto"/>
          </w:divBdr>
        </w:div>
        <w:div w:id="246698090">
          <w:marLeft w:val="446"/>
          <w:marRight w:val="0"/>
          <w:marTop w:val="77"/>
          <w:marBottom w:val="0"/>
          <w:divBdr>
            <w:top w:val="none" w:sz="0" w:space="0" w:color="auto"/>
            <w:left w:val="none" w:sz="0" w:space="0" w:color="auto"/>
            <w:bottom w:val="none" w:sz="0" w:space="0" w:color="auto"/>
            <w:right w:val="none" w:sz="0" w:space="0" w:color="auto"/>
          </w:divBdr>
        </w:div>
        <w:div w:id="707724542">
          <w:marLeft w:val="446"/>
          <w:marRight w:val="0"/>
          <w:marTop w:val="77"/>
          <w:marBottom w:val="0"/>
          <w:divBdr>
            <w:top w:val="none" w:sz="0" w:space="0" w:color="auto"/>
            <w:left w:val="none" w:sz="0" w:space="0" w:color="auto"/>
            <w:bottom w:val="none" w:sz="0" w:space="0" w:color="auto"/>
            <w:right w:val="none" w:sz="0" w:space="0" w:color="auto"/>
          </w:divBdr>
        </w:div>
        <w:div w:id="928348628">
          <w:marLeft w:val="446"/>
          <w:marRight w:val="0"/>
          <w:marTop w:val="77"/>
          <w:marBottom w:val="0"/>
          <w:divBdr>
            <w:top w:val="none" w:sz="0" w:space="0" w:color="auto"/>
            <w:left w:val="none" w:sz="0" w:space="0" w:color="auto"/>
            <w:bottom w:val="none" w:sz="0" w:space="0" w:color="auto"/>
            <w:right w:val="none" w:sz="0" w:space="0" w:color="auto"/>
          </w:divBdr>
        </w:div>
        <w:div w:id="1112090294">
          <w:marLeft w:val="446"/>
          <w:marRight w:val="0"/>
          <w:marTop w:val="77"/>
          <w:marBottom w:val="0"/>
          <w:divBdr>
            <w:top w:val="none" w:sz="0" w:space="0" w:color="auto"/>
            <w:left w:val="none" w:sz="0" w:space="0" w:color="auto"/>
            <w:bottom w:val="none" w:sz="0" w:space="0" w:color="auto"/>
            <w:right w:val="none" w:sz="0" w:space="0" w:color="auto"/>
          </w:divBdr>
        </w:div>
        <w:div w:id="1853061219">
          <w:marLeft w:val="446"/>
          <w:marRight w:val="0"/>
          <w:marTop w:val="77"/>
          <w:marBottom w:val="0"/>
          <w:divBdr>
            <w:top w:val="none" w:sz="0" w:space="0" w:color="auto"/>
            <w:left w:val="none" w:sz="0" w:space="0" w:color="auto"/>
            <w:bottom w:val="none" w:sz="0" w:space="0" w:color="auto"/>
            <w:right w:val="none" w:sz="0" w:space="0" w:color="auto"/>
          </w:divBdr>
        </w:div>
      </w:divsChild>
    </w:div>
    <w:div w:id="1753744762">
      <w:bodyDiv w:val="1"/>
      <w:marLeft w:val="0"/>
      <w:marRight w:val="0"/>
      <w:marTop w:val="0"/>
      <w:marBottom w:val="0"/>
      <w:divBdr>
        <w:top w:val="none" w:sz="0" w:space="0" w:color="auto"/>
        <w:left w:val="none" w:sz="0" w:space="0" w:color="auto"/>
        <w:bottom w:val="none" w:sz="0" w:space="0" w:color="auto"/>
        <w:right w:val="none" w:sz="0" w:space="0" w:color="auto"/>
      </w:divBdr>
      <w:divsChild>
        <w:div w:id="945118060">
          <w:marLeft w:val="994"/>
          <w:marRight w:val="0"/>
          <w:marTop w:val="0"/>
          <w:marBottom w:val="137"/>
          <w:divBdr>
            <w:top w:val="none" w:sz="0" w:space="0" w:color="auto"/>
            <w:left w:val="none" w:sz="0" w:space="0" w:color="auto"/>
            <w:bottom w:val="none" w:sz="0" w:space="0" w:color="auto"/>
            <w:right w:val="none" w:sz="0" w:space="0" w:color="auto"/>
          </w:divBdr>
        </w:div>
      </w:divsChild>
    </w:div>
    <w:div w:id="1826973418">
      <w:bodyDiv w:val="1"/>
      <w:marLeft w:val="0"/>
      <w:marRight w:val="0"/>
      <w:marTop w:val="0"/>
      <w:marBottom w:val="0"/>
      <w:divBdr>
        <w:top w:val="none" w:sz="0" w:space="0" w:color="auto"/>
        <w:left w:val="none" w:sz="0" w:space="0" w:color="auto"/>
        <w:bottom w:val="none" w:sz="0" w:space="0" w:color="auto"/>
        <w:right w:val="none" w:sz="0" w:space="0" w:color="auto"/>
      </w:divBdr>
      <w:divsChild>
        <w:div w:id="139806332">
          <w:marLeft w:val="0"/>
          <w:marRight w:val="0"/>
          <w:marTop w:val="0"/>
          <w:marBottom w:val="0"/>
          <w:divBdr>
            <w:top w:val="none" w:sz="0" w:space="0" w:color="auto"/>
            <w:left w:val="none" w:sz="0" w:space="0" w:color="auto"/>
            <w:bottom w:val="none" w:sz="0" w:space="0" w:color="auto"/>
            <w:right w:val="none" w:sz="0" w:space="0" w:color="auto"/>
          </w:divBdr>
        </w:div>
        <w:div w:id="128911370">
          <w:marLeft w:val="0"/>
          <w:marRight w:val="0"/>
          <w:marTop w:val="0"/>
          <w:marBottom w:val="0"/>
          <w:divBdr>
            <w:top w:val="none" w:sz="0" w:space="0" w:color="auto"/>
            <w:left w:val="none" w:sz="0" w:space="0" w:color="auto"/>
            <w:bottom w:val="none" w:sz="0" w:space="0" w:color="auto"/>
            <w:right w:val="none" w:sz="0" w:space="0" w:color="auto"/>
          </w:divBdr>
        </w:div>
        <w:div w:id="2118519944">
          <w:marLeft w:val="0"/>
          <w:marRight w:val="0"/>
          <w:marTop w:val="0"/>
          <w:marBottom w:val="0"/>
          <w:divBdr>
            <w:top w:val="none" w:sz="0" w:space="0" w:color="auto"/>
            <w:left w:val="none" w:sz="0" w:space="0" w:color="auto"/>
            <w:bottom w:val="none" w:sz="0" w:space="0" w:color="auto"/>
            <w:right w:val="none" w:sz="0" w:space="0" w:color="auto"/>
          </w:divBdr>
        </w:div>
        <w:div w:id="1126462300">
          <w:marLeft w:val="0"/>
          <w:marRight w:val="0"/>
          <w:marTop w:val="0"/>
          <w:marBottom w:val="0"/>
          <w:divBdr>
            <w:top w:val="none" w:sz="0" w:space="0" w:color="auto"/>
            <w:left w:val="none" w:sz="0" w:space="0" w:color="auto"/>
            <w:bottom w:val="none" w:sz="0" w:space="0" w:color="auto"/>
            <w:right w:val="none" w:sz="0" w:space="0" w:color="auto"/>
          </w:divBdr>
        </w:div>
        <w:div w:id="241526447">
          <w:marLeft w:val="0"/>
          <w:marRight w:val="0"/>
          <w:marTop w:val="0"/>
          <w:marBottom w:val="0"/>
          <w:divBdr>
            <w:top w:val="none" w:sz="0" w:space="0" w:color="auto"/>
            <w:left w:val="none" w:sz="0" w:space="0" w:color="auto"/>
            <w:bottom w:val="none" w:sz="0" w:space="0" w:color="auto"/>
            <w:right w:val="none" w:sz="0" w:space="0" w:color="auto"/>
          </w:divBdr>
        </w:div>
        <w:div w:id="24915326">
          <w:marLeft w:val="0"/>
          <w:marRight w:val="0"/>
          <w:marTop w:val="0"/>
          <w:marBottom w:val="0"/>
          <w:divBdr>
            <w:top w:val="none" w:sz="0" w:space="0" w:color="auto"/>
            <w:left w:val="none" w:sz="0" w:space="0" w:color="auto"/>
            <w:bottom w:val="none" w:sz="0" w:space="0" w:color="auto"/>
            <w:right w:val="none" w:sz="0" w:space="0" w:color="auto"/>
          </w:divBdr>
        </w:div>
        <w:div w:id="416706927">
          <w:marLeft w:val="0"/>
          <w:marRight w:val="0"/>
          <w:marTop w:val="0"/>
          <w:marBottom w:val="0"/>
          <w:divBdr>
            <w:top w:val="none" w:sz="0" w:space="0" w:color="auto"/>
            <w:left w:val="none" w:sz="0" w:space="0" w:color="auto"/>
            <w:bottom w:val="none" w:sz="0" w:space="0" w:color="auto"/>
            <w:right w:val="none" w:sz="0" w:space="0" w:color="auto"/>
          </w:divBdr>
        </w:div>
        <w:div w:id="1407414816">
          <w:marLeft w:val="0"/>
          <w:marRight w:val="0"/>
          <w:marTop w:val="0"/>
          <w:marBottom w:val="0"/>
          <w:divBdr>
            <w:top w:val="none" w:sz="0" w:space="0" w:color="auto"/>
            <w:left w:val="none" w:sz="0" w:space="0" w:color="auto"/>
            <w:bottom w:val="none" w:sz="0" w:space="0" w:color="auto"/>
            <w:right w:val="none" w:sz="0" w:space="0" w:color="auto"/>
          </w:divBdr>
        </w:div>
        <w:div w:id="345251770">
          <w:marLeft w:val="0"/>
          <w:marRight w:val="0"/>
          <w:marTop w:val="0"/>
          <w:marBottom w:val="0"/>
          <w:divBdr>
            <w:top w:val="none" w:sz="0" w:space="0" w:color="auto"/>
            <w:left w:val="none" w:sz="0" w:space="0" w:color="auto"/>
            <w:bottom w:val="none" w:sz="0" w:space="0" w:color="auto"/>
            <w:right w:val="none" w:sz="0" w:space="0" w:color="auto"/>
          </w:divBdr>
        </w:div>
        <w:div w:id="1928882610">
          <w:marLeft w:val="0"/>
          <w:marRight w:val="0"/>
          <w:marTop w:val="0"/>
          <w:marBottom w:val="0"/>
          <w:divBdr>
            <w:top w:val="none" w:sz="0" w:space="0" w:color="auto"/>
            <w:left w:val="none" w:sz="0" w:space="0" w:color="auto"/>
            <w:bottom w:val="none" w:sz="0" w:space="0" w:color="auto"/>
            <w:right w:val="none" w:sz="0" w:space="0" w:color="auto"/>
          </w:divBdr>
        </w:div>
        <w:div w:id="1846359102">
          <w:marLeft w:val="0"/>
          <w:marRight w:val="0"/>
          <w:marTop w:val="0"/>
          <w:marBottom w:val="0"/>
          <w:divBdr>
            <w:top w:val="none" w:sz="0" w:space="0" w:color="auto"/>
            <w:left w:val="none" w:sz="0" w:space="0" w:color="auto"/>
            <w:bottom w:val="none" w:sz="0" w:space="0" w:color="auto"/>
            <w:right w:val="none" w:sz="0" w:space="0" w:color="auto"/>
          </w:divBdr>
        </w:div>
        <w:div w:id="515579303">
          <w:marLeft w:val="0"/>
          <w:marRight w:val="0"/>
          <w:marTop w:val="0"/>
          <w:marBottom w:val="0"/>
          <w:divBdr>
            <w:top w:val="none" w:sz="0" w:space="0" w:color="auto"/>
            <w:left w:val="none" w:sz="0" w:space="0" w:color="auto"/>
            <w:bottom w:val="none" w:sz="0" w:space="0" w:color="auto"/>
            <w:right w:val="none" w:sz="0" w:space="0" w:color="auto"/>
          </w:divBdr>
        </w:div>
        <w:div w:id="101455848">
          <w:marLeft w:val="0"/>
          <w:marRight w:val="0"/>
          <w:marTop w:val="0"/>
          <w:marBottom w:val="0"/>
          <w:divBdr>
            <w:top w:val="none" w:sz="0" w:space="0" w:color="auto"/>
            <w:left w:val="none" w:sz="0" w:space="0" w:color="auto"/>
            <w:bottom w:val="none" w:sz="0" w:space="0" w:color="auto"/>
            <w:right w:val="none" w:sz="0" w:space="0" w:color="auto"/>
          </w:divBdr>
        </w:div>
        <w:div w:id="1379938995">
          <w:marLeft w:val="0"/>
          <w:marRight w:val="0"/>
          <w:marTop w:val="0"/>
          <w:marBottom w:val="0"/>
          <w:divBdr>
            <w:top w:val="none" w:sz="0" w:space="0" w:color="auto"/>
            <w:left w:val="none" w:sz="0" w:space="0" w:color="auto"/>
            <w:bottom w:val="none" w:sz="0" w:space="0" w:color="auto"/>
            <w:right w:val="none" w:sz="0" w:space="0" w:color="auto"/>
          </w:divBdr>
        </w:div>
        <w:div w:id="766509079">
          <w:marLeft w:val="0"/>
          <w:marRight w:val="0"/>
          <w:marTop w:val="0"/>
          <w:marBottom w:val="0"/>
          <w:divBdr>
            <w:top w:val="none" w:sz="0" w:space="0" w:color="auto"/>
            <w:left w:val="none" w:sz="0" w:space="0" w:color="auto"/>
            <w:bottom w:val="none" w:sz="0" w:space="0" w:color="auto"/>
            <w:right w:val="none" w:sz="0" w:space="0" w:color="auto"/>
          </w:divBdr>
        </w:div>
        <w:div w:id="1409233842">
          <w:marLeft w:val="0"/>
          <w:marRight w:val="0"/>
          <w:marTop w:val="0"/>
          <w:marBottom w:val="0"/>
          <w:divBdr>
            <w:top w:val="none" w:sz="0" w:space="0" w:color="auto"/>
            <w:left w:val="none" w:sz="0" w:space="0" w:color="auto"/>
            <w:bottom w:val="none" w:sz="0" w:space="0" w:color="auto"/>
            <w:right w:val="none" w:sz="0" w:space="0" w:color="auto"/>
          </w:divBdr>
        </w:div>
        <w:div w:id="1320770065">
          <w:marLeft w:val="0"/>
          <w:marRight w:val="0"/>
          <w:marTop w:val="0"/>
          <w:marBottom w:val="0"/>
          <w:divBdr>
            <w:top w:val="none" w:sz="0" w:space="0" w:color="auto"/>
            <w:left w:val="none" w:sz="0" w:space="0" w:color="auto"/>
            <w:bottom w:val="none" w:sz="0" w:space="0" w:color="auto"/>
            <w:right w:val="none" w:sz="0" w:space="0" w:color="auto"/>
          </w:divBdr>
        </w:div>
        <w:div w:id="1101335333">
          <w:marLeft w:val="0"/>
          <w:marRight w:val="0"/>
          <w:marTop w:val="0"/>
          <w:marBottom w:val="0"/>
          <w:divBdr>
            <w:top w:val="none" w:sz="0" w:space="0" w:color="auto"/>
            <w:left w:val="none" w:sz="0" w:space="0" w:color="auto"/>
            <w:bottom w:val="none" w:sz="0" w:space="0" w:color="auto"/>
            <w:right w:val="none" w:sz="0" w:space="0" w:color="auto"/>
          </w:divBdr>
        </w:div>
        <w:div w:id="26567774">
          <w:marLeft w:val="0"/>
          <w:marRight w:val="0"/>
          <w:marTop w:val="0"/>
          <w:marBottom w:val="0"/>
          <w:divBdr>
            <w:top w:val="none" w:sz="0" w:space="0" w:color="auto"/>
            <w:left w:val="none" w:sz="0" w:space="0" w:color="auto"/>
            <w:bottom w:val="none" w:sz="0" w:space="0" w:color="auto"/>
            <w:right w:val="none" w:sz="0" w:space="0" w:color="auto"/>
          </w:divBdr>
        </w:div>
        <w:div w:id="834959079">
          <w:marLeft w:val="0"/>
          <w:marRight w:val="0"/>
          <w:marTop w:val="0"/>
          <w:marBottom w:val="0"/>
          <w:divBdr>
            <w:top w:val="none" w:sz="0" w:space="0" w:color="auto"/>
            <w:left w:val="none" w:sz="0" w:space="0" w:color="auto"/>
            <w:bottom w:val="none" w:sz="0" w:space="0" w:color="auto"/>
            <w:right w:val="none" w:sz="0" w:space="0" w:color="auto"/>
          </w:divBdr>
        </w:div>
        <w:div w:id="1836336313">
          <w:marLeft w:val="0"/>
          <w:marRight w:val="0"/>
          <w:marTop w:val="0"/>
          <w:marBottom w:val="0"/>
          <w:divBdr>
            <w:top w:val="none" w:sz="0" w:space="0" w:color="auto"/>
            <w:left w:val="none" w:sz="0" w:space="0" w:color="auto"/>
            <w:bottom w:val="none" w:sz="0" w:space="0" w:color="auto"/>
            <w:right w:val="none" w:sz="0" w:space="0" w:color="auto"/>
          </w:divBdr>
        </w:div>
        <w:div w:id="1262226652">
          <w:marLeft w:val="0"/>
          <w:marRight w:val="0"/>
          <w:marTop w:val="0"/>
          <w:marBottom w:val="0"/>
          <w:divBdr>
            <w:top w:val="none" w:sz="0" w:space="0" w:color="auto"/>
            <w:left w:val="none" w:sz="0" w:space="0" w:color="auto"/>
            <w:bottom w:val="none" w:sz="0" w:space="0" w:color="auto"/>
            <w:right w:val="none" w:sz="0" w:space="0" w:color="auto"/>
          </w:divBdr>
        </w:div>
        <w:div w:id="1165903852">
          <w:marLeft w:val="0"/>
          <w:marRight w:val="0"/>
          <w:marTop w:val="0"/>
          <w:marBottom w:val="0"/>
          <w:divBdr>
            <w:top w:val="none" w:sz="0" w:space="0" w:color="auto"/>
            <w:left w:val="none" w:sz="0" w:space="0" w:color="auto"/>
            <w:bottom w:val="none" w:sz="0" w:space="0" w:color="auto"/>
            <w:right w:val="none" w:sz="0" w:space="0" w:color="auto"/>
          </w:divBdr>
        </w:div>
        <w:div w:id="1022509643">
          <w:marLeft w:val="0"/>
          <w:marRight w:val="0"/>
          <w:marTop w:val="0"/>
          <w:marBottom w:val="0"/>
          <w:divBdr>
            <w:top w:val="none" w:sz="0" w:space="0" w:color="auto"/>
            <w:left w:val="none" w:sz="0" w:space="0" w:color="auto"/>
            <w:bottom w:val="none" w:sz="0" w:space="0" w:color="auto"/>
            <w:right w:val="none" w:sz="0" w:space="0" w:color="auto"/>
          </w:divBdr>
        </w:div>
        <w:div w:id="294140237">
          <w:marLeft w:val="0"/>
          <w:marRight w:val="0"/>
          <w:marTop w:val="0"/>
          <w:marBottom w:val="0"/>
          <w:divBdr>
            <w:top w:val="none" w:sz="0" w:space="0" w:color="auto"/>
            <w:left w:val="none" w:sz="0" w:space="0" w:color="auto"/>
            <w:bottom w:val="none" w:sz="0" w:space="0" w:color="auto"/>
            <w:right w:val="none" w:sz="0" w:space="0" w:color="auto"/>
          </w:divBdr>
        </w:div>
        <w:div w:id="1240287558">
          <w:marLeft w:val="0"/>
          <w:marRight w:val="0"/>
          <w:marTop w:val="0"/>
          <w:marBottom w:val="0"/>
          <w:divBdr>
            <w:top w:val="none" w:sz="0" w:space="0" w:color="auto"/>
            <w:left w:val="none" w:sz="0" w:space="0" w:color="auto"/>
            <w:bottom w:val="none" w:sz="0" w:space="0" w:color="auto"/>
            <w:right w:val="none" w:sz="0" w:space="0" w:color="auto"/>
          </w:divBdr>
        </w:div>
        <w:div w:id="670446524">
          <w:marLeft w:val="0"/>
          <w:marRight w:val="0"/>
          <w:marTop w:val="0"/>
          <w:marBottom w:val="0"/>
          <w:divBdr>
            <w:top w:val="none" w:sz="0" w:space="0" w:color="auto"/>
            <w:left w:val="none" w:sz="0" w:space="0" w:color="auto"/>
            <w:bottom w:val="none" w:sz="0" w:space="0" w:color="auto"/>
            <w:right w:val="none" w:sz="0" w:space="0" w:color="auto"/>
          </w:divBdr>
        </w:div>
        <w:div w:id="950090538">
          <w:marLeft w:val="0"/>
          <w:marRight w:val="0"/>
          <w:marTop w:val="0"/>
          <w:marBottom w:val="0"/>
          <w:divBdr>
            <w:top w:val="none" w:sz="0" w:space="0" w:color="auto"/>
            <w:left w:val="none" w:sz="0" w:space="0" w:color="auto"/>
            <w:bottom w:val="none" w:sz="0" w:space="0" w:color="auto"/>
            <w:right w:val="none" w:sz="0" w:space="0" w:color="auto"/>
          </w:divBdr>
        </w:div>
        <w:div w:id="1587954899">
          <w:marLeft w:val="0"/>
          <w:marRight w:val="0"/>
          <w:marTop w:val="0"/>
          <w:marBottom w:val="0"/>
          <w:divBdr>
            <w:top w:val="none" w:sz="0" w:space="0" w:color="auto"/>
            <w:left w:val="none" w:sz="0" w:space="0" w:color="auto"/>
            <w:bottom w:val="none" w:sz="0" w:space="0" w:color="auto"/>
            <w:right w:val="none" w:sz="0" w:space="0" w:color="auto"/>
          </w:divBdr>
        </w:div>
        <w:div w:id="1352684661">
          <w:marLeft w:val="0"/>
          <w:marRight w:val="0"/>
          <w:marTop w:val="0"/>
          <w:marBottom w:val="0"/>
          <w:divBdr>
            <w:top w:val="none" w:sz="0" w:space="0" w:color="auto"/>
            <w:left w:val="none" w:sz="0" w:space="0" w:color="auto"/>
            <w:bottom w:val="none" w:sz="0" w:space="0" w:color="auto"/>
            <w:right w:val="none" w:sz="0" w:space="0" w:color="auto"/>
          </w:divBdr>
        </w:div>
        <w:div w:id="1043863799">
          <w:marLeft w:val="0"/>
          <w:marRight w:val="0"/>
          <w:marTop w:val="0"/>
          <w:marBottom w:val="0"/>
          <w:divBdr>
            <w:top w:val="none" w:sz="0" w:space="0" w:color="auto"/>
            <w:left w:val="none" w:sz="0" w:space="0" w:color="auto"/>
            <w:bottom w:val="none" w:sz="0" w:space="0" w:color="auto"/>
            <w:right w:val="none" w:sz="0" w:space="0" w:color="auto"/>
          </w:divBdr>
        </w:div>
        <w:div w:id="699008926">
          <w:marLeft w:val="0"/>
          <w:marRight w:val="0"/>
          <w:marTop w:val="0"/>
          <w:marBottom w:val="0"/>
          <w:divBdr>
            <w:top w:val="none" w:sz="0" w:space="0" w:color="auto"/>
            <w:left w:val="none" w:sz="0" w:space="0" w:color="auto"/>
            <w:bottom w:val="none" w:sz="0" w:space="0" w:color="auto"/>
            <w:right w:val="none" w:sz="0" w:space="0" w:color="auto"/>
          </w:divBdr>
        </w:div>
        <w:div w:id="1652368441">
          <w:marLeft w:val="0"/>
          <w:marRight w:val="0"/>
          <w:marTop w:val="0"/>
          <w:marBottom w:val="0"/>
          <w:divBdr>
            <w:top w:val="none" w:sz="0" w:space="0" w:color="auto"/>
            <w:left w:val="none" w:sz="0" w:space="0" w:color="auto"/>
            <w:bottom w:val="none" w:sz="0" w:space="0" w:color="auto"/>
            <w:right w:val="none" w:sz="0" w:space="0" w:color="auto"/>
          </w:divBdr>
        </w:div>
        <w:div w:id="431167955">
          <w:marLeft w:val="0"/>
          <w:marRight w:val="0"/>
          <w:marTop w:val="0"/>
          <w:marBottom w:val="0"/>
          <w:divBdr>
            <w:top w:val="none" w:sz="0" w:space="0" w:color="auto"/>
            <w:left w:val="none" w:sz="0" w:space="0" w:color="auto"/>
            <w:bottom w:val="none" w:sz="0" w:space="0" w:color="auto"/>
            <w:right w:val="none" w:sz="0" w:space="0" w:color="auto"/>
          </w:divBdr>
        </w:div>
        <w:div w:id="1775634343">
          <w:marLeft w:val="0"/>
          <w:marRight w:val="0"/>
          <w:marTop w:val="0"/>
          <w:marBottom w:val="0"/>
          <w:divBdr>
            <w:top w:val="none" w:sz="0" w:space="0" w:color="auto"/>
            <w:left w:val="none" w:sz="0" w:space="0" w:color="auto"/>
            <w:bottom w:val="none" w:sz="0" w:space="0" w:color="auto"/>
            <w:right w:val="none" w:sz="0" w:space="0" w:color="auto"/>
          </w:divBdr>
        </w:div>
        <w:div w:id="1519007020">
          <w:marLeft w:val="0"/>
          <w:marRight w:val="0"/>
          <w:marTop w:val="0"/>
          <w:marBottom w:val="0"/>
          <w:divBdr>
            <w:top w:val="none" w:sz="0" w:space="0" w:color="auto"/>
            <w:left w:val="none" w:sz="0" w:space="0" w:color="auto"/>
            <w:bottom w:val="none" w:sz="0" w:space="0" w:color="auto"/>
            <w:right w:val="none" w:sz="0" w:space="0" w:color="auto"/>
          </w:divBdr>
        </w:div>
        <w:div w:id="450324330">
          <w:marLeft w:val="0"/>
          <w:marRight w:val="0"/>
          <w:marTop w:val="0"/>
          <w:marBottom w:val="0"/>
          <w:divBdr>
            <w:top w:val="none" w:sz="0" w:space="0" w:color="auto"/>
            <w:left w:val="none" w:sz="0" w:space="0" w:color="auto"/>
            <w:bottom w:val="none" w:sz="0" w:space="0" w:color="auto"/>
            <w:right w:val="none" w:sz="0" w:space="0" w:color="auto"/>
          </w:divBdr>
        </w:div>
        <w:div w:id="853610707">
          <w:marLeft w:val="0"/>
          <w:marRight w:val="0"/>
          <w:marTop w:val="0"/>
          <w:marBottom w:val="0"/>
          <w:divBdr>
            <w:top w:val="none" w:sz="0" w:space="0" w:color="auto"/>
            <w:left w:val="none" w:sz="0" w:space="0" w:color="auto"/>
            <w:bottom w:val="none" w:sz="0" w:space="0" w:color="auto"/>
            <w:right w:val="none" w:sz="0" w:space="0" w:color="auto"/>
          </w:divBdr>
        </w:div>
        <w:div w:id="761101143">
          <w:marLeft w:val="0"/>
          <w:marRight w:val="0"/>
          <w:marTop w:val="0"/>
          <w:marBottom w:val="0"/>
          <w:divBdr>
            <w:top w:val="none" w:sz="0" w:space="0" w:color="auto"/>
            <w:left w:val="none" w:sz="0" w:space="0" w:color="auto"/>
            <w:bottom w:val="none" w:sz="0" w:space="0" w:color="auto"/>
            <w:right w:val="none" w:sz="0" w:space="0" w:color="auto"/>
          </w:divBdr>
        </w:div>
        <w:div w:id="44530605">
          <w:marLeft w:val="0"/>
          <w:marRight w:val="0"/>
          <w:marTop w:val="0"/>
          <w:marBottom w:val="0"/>
          <w:divBdr>
            <w:top w:val="none" w:sz="0" w:space="0" w:color="auto"/>
            <w:left w:val="none" w:sz="0" w:space="0" w:color="auto"/>
            <w:bottom w:val="none" w:sz="0" w:space="0" w:color="auto"/>
            <w:right w:val="none" w:sz="0" w:space="0" w:color="auto"/>
          </w:divBdr>
        </w:div>
        <w:div w:id="1545872000">
          <w:marLeft w:val="0"/>
          <w:marRight w:val="0"/>
          <w:marTop w:val="0"/>
          <w:marBottom w:val="0"/>
          <w:divBdr>
            <w:top w:val="none" w:sz="0" w:space="0" w:color="auto"/>
            <w:left w:val="none" w:sz="0" w:space="0" w:color="auto"/>
            <w:bottom w:val="none" w:sz="0" w:space="0" w:color="auto"/>
            <w:right w:val="none" w:sz="0" w:space="0" w:color="auto"/>
          </w:divBdr>
        </w:div>
        <w:div w:id="1945532331">
          <w:marLeft w:val="0"/>
          <w:marRight w:val="0"/>
          <w:marTop w:val="0"/>
          <w:marBottom w:val="0"/>
          <w:divBdr>
            <w:top w:val="none" w:sz="0" w:space="0" w:color="auto"/>
            <w:left w:val="none" w:sz="0" w:space="0" w:color="auto"/>
            <w:bottom w:val="none" w:sz="0" w:space="0" w:color="auto"/>
            <w:right w:val="none" w:sz="0" w:space="0" w:color="auto"/>
          </w:divBdr>
        </w:div>
        <w:div w:id="347485860">
          <w:marLeft w:val="0"/>
          <w:marRight w:val="0"/>
          <w:marTop w:val="0"/>
          <w:marBottom w:val="0"/>
          <w:divBdr>
            <w:top w:val="none" w:sz="0" w:space="0" w:color="auto"/>
            <w:left w:val="none" w:sz="0" w:space="0" w:color="auto"/>
            <w:bottom w:val="none" w:sz="0" w:space="0" w:color="auto"/>
            <w:right w:val="none" w:sz="0" w:space="0" w:color="auto"/>
          </w:divBdr>
        </w:div>
        <w:div w:id="447703977">
          <w:marLeft w:val="0"/>
          <w:marRight w:val="0"/>
          <w:marTop w:val="0"/>
          <w:marBottom w:val="0"/>
          <w:divBdr>
            <w:top w:val="none" w:sz="0" w:space="0" w:color="auto"/>
            <w:left w:val="none" w:sz="0" w:space="0" w:color="auto"/>
            <w:bottom w:val="none" w:sz="0" w:space="0" w:color="auto"/>
            <w:right w:val="none" w:sz="0" w:space="0" w:color="auto"/>
          </w:divBdr>
        </w:div>
        <w:div w:id="901477420">
          <w:marLeft w:val="0"/>
          <w:marRight w:val="0"/>
          <w:marTop w:val="0"/>
          <w:marBottom w:val="0"/>
          <w:divBdr>
            <w:top w:val="none" w:sz="0" w:space="0" w:color="auto"/>
            <w:left w:val="none" w:sz="0" w:space="0" w:color="auto"/>
            <w:bottom w:val="none" w:sz="0" w:space="0" w:color="auto"/>
            <w:right w:val="none" w:sz="0" w:space="0" w:color="auto"/>
          </w:divBdr>
        </w:div>
        <w:div w:id="1908029725">
          <w:marLeft w:val="0"/>
          <w:marRight w:val="0"/>
          <w:marTop w:val="0"/>
          <w:marBottom w:val="0"/>
          <w:divBdr>
            <w:top w:val="none" w:sz="0" w:space="0" w:color="auto"/>
            <w:left w:val="none" w:sz="0" w:space="0" w:color="auto"/>
            <w:bottom w:val="none" w:sz="0" w:space="0" w:color="auto"/>
            <w:right w:val="none" w:sz="0" w:space="0" w:color="auto"/>
          </w:divBdr>
        </w:div>
        <w:div w:id="1317803800">
          <w:marLeft w:val="0"/>
          <w:marRight w:val="0"/>
          <w:marTop w:val="0"/>
          <w:marBottom w:val="0"/>
          <w:divBdr>
            <w:top w:val="none" w:sz="0" w:space="0" w:color="auto"/>
            <w:left w:val="none" w:sz="0" w:space="0" w:color="auto"/>
            <w:bottom w:val="none" w:sz="0" w:space="0" w:color="auto"/>
            <w:right w:val="none" w:sz="0" w:space="0" w:color="auto"/>
          </w:divBdr>
        </w:div>
        <w:div w:id="1130438419">
          <w:marLeft w:val="0"/>
          <w:marRight w:val="0"/>
          <w:marTop w:val="0"/>
          <w:marBottom w:val="0"/>
          <w:divBdr>
            <w:top w:val="none" w:sz="0" w:space="0" w:color="auto"/>
            <w:left w:val="none" w:sz="0" w:space="0" w:color="auto"/>
            <w:bottom w:val="none" w:sz="0" w:space="0" w:color="auto"/>
            <w:right w:val="none" w:sz="0" w:space="0" w:color="auto"/>
          </w:divBdr>
        </w:div>
        <w:div w:id="1877309793">
          <w:marLeft w:val="0"/>
          <w:marRight w:val="0"/>
          <w:marTop w:val="0"/>
          <w:marBottom w:val="0"/>
          <w:divBdr>
            <w:top w:val="none" w:sz="0" w:space="0" w:color="auto"/>
            <w:left w:val="none" w:sz="0" w:space="0" w:color="auto"/>
            <w:bottom w:val="none" w:sz="0" w:space="0" w:color="auto"/>
            <w:right w:val="none" w:sz="0" w:space="0" w:color="auto"/>
          </w:divBdr>
        </w:div>
        <w:div w:id="261188725">
          <w:marLeft w:val="0"/>
          <w:marRight w:val="0"/>
          <w:marTop w:val="0"/>
          <w:marBottom w:val="0"/>
          <w:divBdr>
            <w:top w:val="none" w:sz="0" w:space="0" w:color="auto"/>
            <w:left w:val="none" w:sz="0" w:space="0" w:color="auto"/>
            <w:bottom w:val="none" w:sz="0" w:space="0" w:color="auto"/>
            <w:right w:val="none" w:sz="0" w:space="0" w:color="auto"/>
          </w:divBdr>
        </w:div>
        <w:div w:id="2040230466">
          <w:marLeft w:val="0"/>
          <w:marRight w:val="0"/>
          <w:marTop w:val="0"/>
          <w:marBottom w:val="0"/>
          <w:divBdr>
            <w:top w:val="none" w:sz="0" w:space="0" w:color="auto"/>
            <w:left w:val="none" w:sz="0" w:space="0" w:color="auto"/>
            <w:bottom w:val="none" w:sz="0" w:space="0" w:color="auto"/>
            <w:right w:val="none" w:sz="0" w:space="0" w:color="auto"/>
          </w:divBdr>
        </w:div>
        <w:div w:id="310909349">
          <w:marLeft w:val="0"/>
          <w:marRight w:val="0"/>
          <w:marTop w:val="0"/>
          <w:marBottom w:val="0"/>
          <w:divBdr>
            <w:top w:val="none" w:sz="0" w:space="0" w:color="auto"/>
            <w:left w:val="none" w:sz="0" w:space="0" w:color="auto"/>
            <w:bottom w:val="none" w:sz="0" w:space="0" w:color="auto"/>
            <w:right w:val="none" w:sz="0" w:space="0" w:color="auto"/>
          </w:divBdr>
        </w:div>
        <w:div w:id="347297985">
          <w:marLeft w:val="0"/>
          <w:marRight w:val="0"/>
          <w:marTop w:val="0"/>
          <w:marBottom w:val="0"/>
          <w:divBdr>
            <w:top w:val="none" w:sz="0" w:space="0" w:color="auto"/>
            <w:left w:val="none" w:sz="0" w:space="0" w:color="auto"/>
            <w:bottom w:val="none" w:sz="0" w:space="0" w:color="auto"/>
            <w:right w:val="none" w:sz="0" w:space="0" w:color="auto"/>
          </w:divBdr>
        </w:div>
        <w:div w:id="898398603">
          <w:marLeft w:val="0"/>
          <w:marRight w:val="0"/>
          <w:marTop w:val="0"/>
          <w:marBottom w:val="0"/>
          <w:divBdr>
            <w:top w:val="none" w:sz="0" w:space="0" w:color="auto"/>
            <w:left w:val="none" w:sz="0" w:space="0" w:color="auto"/>
            <w:bottom w:val="none" w:sz="0" w:space="0" w:color="auto"/>
            <w:right w:val="none" w:sz="0" w:space="0" w:color="auto"/>
          </w:divBdr>
        </w:div>
        <w:div w:id="314072709">
          <w:marLeft w:val="0"/>
          <w:marRight w:val="0"/>
          <w:marTop w:val="0"/>
          <w:marBottom w:val="0"/>
          <w:divBdr>
            <w:top w:val="none" w:sz="0" w:space="0" w:color="auto"/>
            <w:left w:val="none" w:sz="0" w:space="0" w:color="auto"/>
            <w:bottom w:val="none" w:sz="0" w:space="0" w:color="auto"/>
            <w:right w:val="none" w:sz="0" w:space="0" w:color="auto"/>
          </w:divBdr>
        </w:div>
        <w:div w:id="748379978">
          <w:marLeft w:val="0"/>
          <w:marRight w:val="0"/>
          <w:marTop w:val="0"/>
          <w:marBottom w:val="0"/>
          <w:divBdr>
            <w:top w:val="none" w:sz="0" w:space="0" w:color="auto"/>
            <w:left w:val="none" w:sz="0" w:space="0" w:color="auto"/>
            <w:bottom w:val="none" w:sz="0" w:space="0" w:color="auto"/>
            <w:right w:val="none" w:sz="0" w:space="0" w:color="auto"/>
          </w:divBdr>
        </w:div>
        <w:div w:id="2021620060">
          <w:marLeft w:val="0"/>
          <w:marRight w:val="0"/>
          <w:marTop w:val="0"/>
          <w:marBottom w:val="0"/>
          <w:divBdr>
            <w:top w:val="none" w:sz="0" w:space="0" w:color="auto"/>
            <w:left w:val="none" w:sz="0" w:space="0" w:color="auto"/>
            <w:bottom w:val="none" w:sz="0" w:space="0" w:color="auto"/>
            <w:right w:val="none" w:sz="0" w:space="0" w:color="auto"/>
          </w:divBdr>
        </w:div>
        <w:div w:id="744762836">
          <w:marLeft w:val="0"/>
          <w:marRight w:val="0"/>
          <w:marTop w:val="0"/>
          <w:marBottom w:val="0"/>
          <w:divBdr>
            <w:top w:val="none" w:sz="0" w:space="0" w:color="auto"/>
            <w:left w:val="none" w:sz="0" w:space="0" w:color="auto"/>
            <w:bottom w:val="none" w:sz="0" w:space="0" w:color="auto"/>
            <w:right w:val="none" w:sz="0" w:space="0" w:color="auto"/>
          </w:divBdr>
        </w:div>
        <w:div w:id="1136071835">
          <w:marLeft w:val="0"/>
          <w:marRight w:val="0"/>
          <w:marTop w:val="0"/>
          <w:marBottom w:val="0"/>
          <w:divBdr>
            <w:top w:val="none" w:sz="0" w:space="0" w:color="auto"/>
            <w:left w:val="none" w:sz="0" w:space="0" w:color="auto"/>
            <w:bottom w:val="none" w:sz="0" w:space="0" w:color="auto"/>
            <w:right w:val="none" w:sz="0" w:space="0" w:color="auto"/>
          </w:divBdr>
        </w:div>
        <w:div w:id="1731730915">
          <w:marLeft w:val="0"/>
          <w:marRight w:val="0"/>
          <w:marTop w:val="0"/>
          <w:marBottom w:val="0"/>
          <w:divBdr>
            <w:top w:val="none" w:sz="0" w:space="0" w:color="auto"/>
            <w:left w:val="none" w:sz="0" w:space="0" w:color="auto"/>
            <w:bottom w:val="none" w:sz="0" w:space="0" w:color="auto"/>
            <w:right w:val="none" w:sz="0" w:space="0" w:color="auto"/>
          </w:divBdr>
        </w:div>
        <w:div w:id="301230801">
          <w:marLeft w:val="0"/>
          <w:marRight w:val="0"/>
          <w:marTop w:val="0"/>
          <w:marBottom w:val="0"/>
          <w:divBdr>
            <w:top w:val="none" w:sz="0" w:space="0" w:color="auto"/>
            <w:left w:val="none" w:sz="0" w:space="0" w:color="auto"/>
            <w:bottom w:val="none" w:sz="0" w:space="0" w:color="auto"/>
            <w:right w:val="none" w:sz="0" w:space="0" w:color="auto"/>
          </w:divBdr>
        </w:div>
        <w:div w:id="2118523323">
          <w:marLeft w:val="0"/>
          <w:marRight w:val="0"/>
          <w:marTop w:val="0"/>
          <w:marBottom w:val="0"/>
          <w:divBdr>
            <w:top w:val="none" w:sz="0" w:space="0" w:color="auto"/>
            <w:left w:val="none" w:sz="0" w:space="0" w:color="auto"/>
            <w:bottom w:val="none" w:sz="0" w:space="0" w:color="auto"/>
            <w:right w:val="none" w:sz="0" w:space="0" w:color="auto"/>
          </w:divBdr>
        </w:div>
        <w:div w:id="802969944">
          <w:marLeft w:val="0"/>
          <w:marRight w:val="0"/>
          <w:marTop w:val="0"/>
          <w:marBottom w:val="0"/>
          <w:divBdr>
            <w:top w:val="none" w:sz="0" w:space="0" w:color="auto"/>
            <w:left w:val="none" w:sz="0" w:space="0" w:color="auto"/>
            <w:bottom w:val="none" w:sz="0" w:space="0" w:color="auto"/>
            <w:right w:val="none" w:sz="0" w:space="0" w:color="auto"/>
          </w:divBdr>
        </w:div>
        <w:div w:id="1357149037">
          <w:marLeft w:val="0"/>
          <w:marRight w:val="0"/>
          <w:marTop w:val="0"/>
          <w:marBottom w:val="0"/>
          <w:divBdr>
            <w:top w:val="none" w:sz="0" w:space="0" w:color="auto"/>
            <w:left w:val="none" w:sz="0" w:space="0" w:color="auto"/>
            <w:bottom w:val="none" w:sz="0" w:space="0" w:color="auto"/>
            <w:right w:val="none" w:sz="0" w:space="0" w:color="auto"/>
          </w:divBdr>
        </w:div>
        <w:div w:id="621303036">
          <w:marLeft w:val="0"/>
          <w:marRight w:val="0"/>
          <w:marTop w:val="0"/>
          <w:marBottom w:val="0"/>
          <w:divBdr>
            <w:top w:val="none" w:sz="0" w:space="0" w:color="auto"/>
            <w:left w:val="none" w:sz="0" w:space="0" w:color="auto"/>
            <w:bottom w:val="none" w:sz="0" w:space="0" w:color="auto"/>
            <w:right w:val="none" w:sz="0" w:space="0" w:color="auto"/>
          </w:divBdr>
        </w:div>
        <w:div w:id="817111013">
          <w:marLeft w:val="0"/>
          <w:marRight w:val="0"/>
          <w:marTop w:val="0"/>
          <w:marBottom w:val="0"/>
          <w:divBdr>
            <w:top w:val="none" w:sz="0" w:space="0" w:color="auto"/>
            <w:left w:val="none" w:sz="0" w:space="0" w:color="auto"/>
            <w:bottom w:val="none" w:sz="0" w:space="0" w:color="auto"/>
            <w:right w:val="none" w:sz="0" w:space="0" w:color="auto"/>
          </w:divBdr>
        </w:div>
        <w:div w:id="607154988">
          <w:marLeft w:val="0"/>
          <w:marRight w:val="0"/>
          <w:marTop w:val="0"/>
          <w:marBottom w:val="0"/>
          <w:divBdr>
            <w:top w:val="none" w:sz="0" w:space="0" w:color="auto"/>
            <w:left w:val="none" w:sz="0" w:space="0" w:color="auto"/>
            <w:bottom w:val="none" w:sz="0" w:space="0" w:color="auto"/>
            <w:right w:val="none" w:sz="0" w:space="0" w:color="auto"/>
          </w:divBdr>
        </w:div>
        <w:div w:id="1180510058">
          <w:marLeft w:val="0"/>
          <w:marRight w:val="0"/>
          <w:marTop w:val="0"/>
          <w:marBottom w:val="0"/>
          <w:divBdr>
            <w:top w:val="none" w:sz="0" w:space="0" w:color="auto"/>
            <w:left w:val="none" w:sz="0" w:space="0" w:color="auto"/>
            <w:bottom w:val="none" w:sz="0" w:space="0" w:color="auto"/>
            <w:right w:val="none" w:sz="0" w:space="0" w:color="auto"/>
          </w:divBdr>
        </w:div>
        <w:div w:id="315644028">
          <w:marLeft w:val="0"/>
          <w:marRight w:val="0"/>
          <w:marTop w:val="0"/>
          <w:marBottom w:val="0"/>
          <w:divBdr>
            <w:top w:val="none" w:sz="0" w:space="0" w:color="auto"/>
            <w:left w:val="none" w:sz="0" w:space="0" w:color="auto"/>
            <w:bottom w:val="none" w:sz="0" w:space="0" w:color="auto"/>
            <w:right w:val="none" w:sz="0" w:space="0" w:color="auto"/>
          </w:divBdr>
        </w:div>
        <w:div w:id="578059039">
          <w:marLeft w:val="0"/>
          <w:marRight w:val="0"/>
          <w:marTop w:val="0"/>
          <w:marBottom w:val="0"/>
          <w:divBdr>
            <w:top w:val="none" w:sz="0" w:space="0" w:color="auto"/>
            <w:left w:val="none" w:sz="0" w:space="0" w:color="auto"/>
            <w:bottom w:val="none" w:sz="0" w:space="0" w:color="auto"/>
            <w:right w:val="none" w:sz="0" w:space="0" w:color="auto"/>
          </w:divBdr>
        </w:div>
        <w:div w:id="553467575">
          <w:marLeft w:val="0"/>
          <w:marRight w:val="0"/>
          <w:marTop w:val="0"/>
          <w:marBottom w:val="0"/>
          <w:divBdr>
            <w:top w:val="none" w:sz="0" w:space="0" w:color="auto"/>
            <w:left w:val="none" w:sz="0" w:space="0" w:color="auto"/>
            <w:bottom w:val="none" w:sz="0" w:space="0" w:color="auto"/>
            <w:right w:val="none" w:sz="0" w:space="0" w:color="auto"/>
          </w:divBdr>
        </w:div>
        <w:div w:id="2095977070">
          <w:marLeft w:val="0"/>
          <w:marRight w:val="0"/>
          <w:marTop w:val="0"/>
          <w:marBottom w:val="0"/>
          <w:divBdr>
            <w:top w:val="none" w:sz="0" w:space="0" w:color="auto"/>
            <w:left w:val="none" w:sz="0" w:space="0" w:color="auto"/>
            <w:bottom w:val="none" w:sz="0" w:space="0" w:color="auto"/>
            <w:right w:val="none" w:sz="0" w:space="0" w:color="auto"/>
          </w:divBdr>
        </w:div>
        <w:div w:id="1075130761">
          <w:marLeft w:val="0"/>
          <w:marRight w:val="0"/>
          <w:marTop w:val="0"/>
          <w:marBottom w:val="0"/>
          <w:divBdr>
            <w:top w:val="none" w:sz="0" w:space="0" w:color="auto"/>
            <w:left w:val="none" w:sz="0" w:space="0" w:color="auto"/>
            <w:bottom w:val="none" w:sz="0" w:space="0" w:color="auto"/>
            <w:right w:val="none" w:sz="0" w:space="0" w:color="auto"/>
          </w:divBdr>
        </w:div>
        <w:div w:id="208031131">
          <w:marLeft w:val="0"/>
          <w:marRight w:val="0"/>
          <w:marTop w:val="0"/>
          <w:marBottom w:val="0"/>
          <w:divBdr>
            <w:top w:val="none" w:sz="0" w:space="0" w:color="auto"/>
            <w:left w:val="none" w:sz="0" w:space="0" w:color="auto"/>
            <w:bottom w:val="none" w:sz="0" w:space="0" w:color="auto"/>
            <w:right w:val="none" w:sz="0" w:space="0" w:color="auto"/>
          </w:divBdr>
        </w:div>
        <w:div w:id="199049943">
          <w:marLeft w:val="0"/>
          <w:marRight w:val="0"/>
          <w:marTop w:val="0"/>
          <w:marBottom w:val="0"/>
          <w:divBdr>
            <w:top w:val="none" w:sz="0" w:space="0" w:color="auto"/>
            <w:left w:val="none" w:sz="0" w:space="0" w:color="auto"/>
            <w:bottom w:val="none" w:sz="0" w:space="0" w:color="auto"/>
            <w:right w:val="none" w:sz="0" w:space="0" w:color="auto"/>
          </w:divBdr>
        </w:div>
        <w:div w:id="596449562">
          <w:marLeft w:val="0"/>
          <w:marRight w:val="0"/>
          <w:marTop w:val="0"/>
          <w:marBottom w:val="0"/>
          <w:divBdr>
            <w:top w:val="none" w:sz="0" w:space="0" w:color="auto"/>
            <w:left w:val="none" w:sz="0" w:space="0" w:color="auto"/>
            <w:bottom w:val="none" w:sz="0" w:space="0" w:color="auto"/>
            <w:right w:val="none" w:sz="0" w:space="0" w:color="auto"/>
          </w:divBdr>
        </w:div>
        <w:div w:id="1850947799">
          <w:marLeft w:val="0"/>
          <w:marRight w:val="0"/>
          <w:marTop w:val="0"/>
          <w:marBottom w:val="0"/>
          <w:divBdr>
            <w:top w:val="none" w:sz="0" w:space="0" w:color="auto"/>
            <w:left w:val="none" w:sz="0" w:space="0" w:color="auto"/>
            <w:bottom w:val="none" w:sz="0" w:space="0" w:color="auto"/>
            <w:right w:val="none" w:sz="0" w:space="0" w:color="auto"/>
          </w:divBdr>
        </w:div>
        <w:div w:id="2059433680">
          <w:marLeft w:val="0"/>
          <w:marRight w:val="0"/>
          <w:marTop w:val="0"/>
          <w:marBottom w:val="0"/>
          <w:divBdr>
            <w:top w:val="none" w:sz="0" w:space="0" w:color="auto"/>
            <w:left w:val="none" w:sz="0" w:space="0" w:color="auto"/>
            <w:bottom w:val="none" w:sz="0" w:space="0" w:color="auto"/>
            <w:right w:val="none" w:sz="0" w:space="0" w:color="auto"/>
          </w:divBdr>
        </w:div>
        <w:div w:id="334655750">
          <w:marLeft w:val="0"/>
          <w:marRight w:val="0"/>
          <w:marTop w:val="0"/>
          <w:marBottom w:val="0"/>
          <w:divBdr>
            <w:top w:val="none" w:sz="0" w:space="0" w:color="auto"/>
            <w:left w:val="none" w:sz="0" w:space="0" w:color="auto"/>
            <w:bottom w:val="none" w:sz="0" w:space="0" w:color="auto"/>
            <w:right w:val="none" w:sz="0" w:space="0" w:color="auto"/>
          </w:divBdr>
        </w:div>
        <w:div w:id="2075933586">
          <w:marLeft w:val="0"/>
          <w:marRight w:val="0"/>
          <w:marTop w:val="0"/>
          <w:marBottom w:val="0"/>
          <w:divBdr>
            <w:top w:val="none" w:sz="0" w:space="0" w:color="auto"/>
            <w:left w:val="none" w:sz="0" w:space="0" w:color="auto"/>
            <w:bottom w:val="none" w:sz="0" w:space="0" w:color="auto"/>
            <w:right w:val="none" w:sz="0" w:space="0" w:color="auto"/>
          </w:divBdr>
        </w:div>
        <w:div w:id="742996464">
          <w:marLeft w:val="0"/>
          <w:marRight w:val="0"/>
          <w:marTop w:val="0"/>
          <w:marBottom w:val="0"/>
          <w:divBdr>
            <w:top w:val="none" w:sz="0" w:space="0" w:color="auto"/>
            <w:left w:val="none" w:sz="0" w:space="0" w:color="auto"/>
            <w:bottom w:val="none" w:sz="0" w:space="0" w:color="auto"/>
            <w:right w:val="none" w:sz="0" w:space="0" w:color="auto"/>
          </w:divBdr>
        </w:div>
        <w:div w:id="1425343809">
          <w:marLeft w:val="0"/>
          <w:marRight w:val="0"/>
          <w:marTop w:val="0"/>
          <w:marBottom w:val="0"/>
          <w:divBdr>
            <w:top w:val="none" w:sz="0" w:space="0" w:color="auto"/>
            <w:left w:val="none" w:sz="0" w:space="0" w:color="auto"/>
            <w:bottom w:val="none" w:sz="0" w:space="0" w:color="auto"/>
            <w:right w:val="none" w:sz="0" w:space="0" w:color="auto"/>
          </w:divBdr>
        </w:div>
        <w:div w:id="1644848499">
          <w:marLeft w:val="0"/>
          <w:marRight w:val="0"/>
          <w:marTop w:val="0"/>
          <w:marBottom w:val="0"/>
          <w:divBdr>
            <w:top w:val="none" w:sz="0" w:space="0" w:color="auto"/>
            <w:left w:val="none" w:sz="0" w:space="0" w:color="auto"/>
            <w:bottom w:val="none" w:sz="0" w:space="0" w:color="auto"/>
            <w:right w:val="none" w:sz="0" w:space="0" w:color="auto"/>
          </w:divBdr>
        </w:div>
        <w:div w:id="909658248">
          <w:marLeft w:val="0"/>
          <w:marRight w:val="0"/>
          <w:marTop w:val="0"/>
          <w:marBottom w:val="0"/>
          <w:divBdr>
            <w:top w:val="none" w:sz="0" w:space="0" w:color="auto"/>
            <w:left w:val="none" w:sz="0" w:space="0" w:color="auto"/>
            <w:bottom w:val="none" w:sz="0" w:space="0" w:color="auto"/>
            <w:right w:val="none" w:sz="0" w:space="0" w:color="auto"/>
          </w:divBdr>
        </w:div>
        <w:div w:id="445664869">
          <w:marLeft w:val="0"/>
          <w:marRight w:val="0"/>
          <w:marTop w:val="0"/>
          <w:marBottom w:val="0"/>
          <w:divBdr>
            <w:top w:val="none" w:sz="0" w:space="0" w:color="auto"/>
            <w:left w:val="none" w:sz="0" w:space="0" w:color="auto"/>
            <w:bottom w:val="none" w:sz="0" w:space="0" w:color="auto"/>
            <w:right w:val="none" w:sz="0" w:space="0" w:color="auto"/>
          </w:divBdr>
        </w:div>
        <w:div w:id="197475418">
          <w:marLeft w:val="0"/>
          <w:marRight w:val="0"/>
          <w:marTop w:val="0"/>
          <w:marBottom w:val="0"/>
          <w:divBdr>
            <w:top w:val="none" w:sz="0" w:space="0" w:color="auto"/>
            <w:left w:val="none" w:sz="0" w:space="0" w:color="auto"/>
            <w:bottom w:val="none" w:sz="0" w:space="0" w:color="auto"/>
            <w:right w:val="none" w:sz="0" w:space="0" w:color="auto"/>
          </w:divBdr>
        </w:div>
        <w:div w:id="1827668728">
          <w:marLeft w:val="0"/>
          <w:marRight w:val="0"/>
          <w:marTop w:val="0"/>
          <w:marBottom w:val="0"/>
          <w:divBdr>
            <w:top w:val="none" w:sz="0" w:space="0" w:color="auto"/>
            <w:left w:val="none" w:sz="0" w:space="0" w:color="auto"/>
            <w:bottom w:val="none" w:sz="0" w:space="0" w:color="auto"/>
            <w:right w:val="none" w:sz="0" w:space="0" w:color="auto"/>
          </w:divBdr>
        </w:div>
        <w:div w:id="906915151">
          <w:marLeft w:val="0"/>
          <w:marRight w:val="0"/>
          <w:marTop w:val="0"/>
          <w:marBottom w:val="0"/>
          <w:divBdr>
            <w:top w:val="none" w:sz="0" w:space="0" w:color="auto"/>
            <w:left w:val="none" w:sz="0" w:space="0" w:color="auto"/>
            <w:bottom w:val="none" w:sz="0" w:space="0" w:color="auto"/>
            <w:right w:val="none" w:sz="0" w:space="0" w:color="auto"/>
          </w:divBdr>
        </w:div>
        <w:div w:id="765348402">
          <w:marLeft w:val="0"/>
          <w:marRight w:val="0"/>
          <w:marTop w:val="0"/>
          <w:marBottom w:val="0"/>
          <w:divBdr>
            <w:top w:val="none" w:sz="0" w:space="0" w:color="auto"/>
            <w:left w:val="none" w:sz="0" w:space="0" w:color="auto"/>
            <w:bottom w:val="none" w:sz="0" w:space="0" w:color="auto"/>
            <w:right w:val="none" w:sz="0" w:space="0" w:color="auto"/>
          </w:divBdr>
        </w:div>
        <w:div w:id="234781918">
          <w:marLeft w:val="0"/>
          <w:marRight w:val="0"/>
          <w:marTop w:val="0"/>
          <w:marBottom w:val="0"/>
          <w:divBdr>
            <w:top w:val="none" w:sz="0" w:space="0" w:color="auto"/>
            <w:left w:val="none" w:sz="0" w:space="0" w:color="auto"/>
            <w:bottom w:val="none" w:sz="0" w:space="0" w:color="auto"/>
            <w:right w:val="none" w:sz="0" w:space="0" w:color="auto"/>
          </w:divBdr>
        </w:div>
        <w:div w:id="209341352">
          <w:marLeft w:val="0"/>
          <w:marRight w:val="0"/>
          <w:marTop w:val="0"/>
          <w:marBottom w:val="0"/>
          <w:divBdr>
            <w:top w:val="none" w:sz="0" w:space="0" w:color="auto"/>
            <w:left w:val="none" w:sz="0" w:space="0" w:color="auto"/>
            <w:bottom w:val="none" w:sz="0" w:space="0" w:color="auto"/>
            <w:right w:val="none" w:sz="0" w:space="0" w:color="auto"/>
          </w:divBdr>
        </w:div>
        <w:div w:id="1321077859">
          <w:marLeft w:val="0"/>
          <w:marRight w:val="0"/>
          <w:marTop w:val="0"/>
          <w:marBottom w:val="0"/>
          <w:divBdr>
            <w:top w:val="none" w:sz="0" w:space="0" w:color="auto"/>
            <w:left w:val="none" w:sz="0" w:space="0" w:color="auto"/>
            <w:bottom w:val="none" w:sz="0" w:space="0" w:color="auto"/>
            <w:right w:val="none" w:sz="0" w:space="0" w:color="auto"/>
          </w:divBdr>
        </w:div>
        <w:div w:id="582490618">
          <w:marLeft w:val="0"/>
          <w:marRight w:val="0"/>
          <w:marTop w:val="0"/>
          <w:marBottom w:val="0"/>
          <w:divBdr>
            <w:top w:val="none" w:sz="0" w:space="0" w:color="auto"/>
            <w:left w:val="none" w:sz="0" w:space="0" w:color="auto"/>
            <w:bottom w:val="none" w:sz="0" w:space="0" w:color="auto"/>
            <w:right w:val="none" w:sz="0" w:space="0" w:color="auto"/>
          </w:divBdr>
        </w:div>
        <w:div w:id="1389962771">
          <w:marLeft w:val="0"/>
          <w:marRight w:val="0"/>
          <w:marTop w:val="0"/>
          <w:marBottom w:val="0"/>
          <w:divBdr>
            <w:top w:val="none" w:sz="0" w:space="0" w:color="auto"/>
            <w:left w:val="none" w:sz="0" w:space="0" w:color="auto"/>
            <w:bottom w:val="none" w:sz="0" w:space="0" w:color="auto"/>
            <w:right w:val="none" w:sz="0" w:space="0" w:color="auto"/>
          </w:divBdr>
        </w:div>
        <w:div w:id="785123425">
          <w:marLeft w:val="0"/>
          <w:marRight w:val="0"/>
          <w:marTop w:val="0"/>
          <w:marBottom w:val="0"/>
          <w:divBdr>
            <w:top w:val="none" w:sz="0" w:space="0" w:color="auto"/>
            <w:left w:val="none" w:sz="0" w:space="0" w:color="auto"/>
            <w:bottom w:val="none" w:sz="0" w:space="0" w:color="auto"/>
            <w:right w:val="none" w:sz="0" w:space="0" w:color="auto"/>
          </w:divBdr>
        </w:div>
        <w:div w:id="1468164375">
          <w:marLeft w:val="0"/>
          <w:marRight w:val="0"/>
          <w:marTop w:val="0"/>
          <w:marBottom w:val="0"/>
          <w:divBdr>
            <w:top w:val="none" w:sz="0" w:space="0" w:color="auto"/>
            <w:left w:val="none" w:sz="0" w:space="0" w:color="auto"/>
            <w:bottom w:val="none" w:sz="0" w:space="0" w:color="auto"/>
            <w:right w:val="none" w:sz="0" w:space="0" w:color="auto"/>
          </w:divBdr>
        </w:div>
        <w:div w:id="331103497">
          <w:marLeft w:val="0"/>
          <w:marRight w:val="0"/>
          <w:marTop w:val="0"/>
          <w:marBottom w:val="0"/>
          <w:divBdr>
            <w:top w:val="none" w:sz="0" w:space="0" w:color="auto"/>
            <w:left w:val="none" w:sz="0" w:space="0" w:color="auto"/>
            <w:bottom w:val="none" w:sz="0" w:space="0" w:color="auto"/>
            <w:right w:val="none" w:sz="0" w:space="0" w:color="auto"/>
          </w:divBdr>
        </w:div>
        <w:div w:id="786242310">
          <w:marLeft w:val="0"/>
          <w:marRight w:val="0"/>
          <w:marTop w:val="0"/>
          <w:marBottom w:val="0"/>
          <w:divBdr>
            <w:top w:val="none" w:sz="0" w:space="0" w:color="auto"/>
            <w:left w:val="none" w:sz="0" w:space="0" w:color="auto"/>
            <w:bottom w:val="none" w:sz="0" w:space="0" w:color="auto"/>
            <w:right w:val="none" w:sz="0" w:space="0" w:color="auto"/>
          </w:divBdr>
        </w:div>
        <w:div w:id="271321684">
          <w:marLeft w:val="0"/>
          <w:marRight w:val="0"/>
          <w:marTop w:val="0"/>
          <w:marBottom w:val="0"/>
          <w:divBdr>
            <w:top w:val="none" w:sz="0" w:space="0" w:color="auto"/>
            <w:left w:val="none" w:sz="0" w:space="0" w:color="auto"/>
            <w:bottom w:val="none" w:sz="0" w:space="0" w:color="auto"/>
            <w:right w:val="none" w:sz="0" w:space="0" w:color="auto"/>
          </w:divBdr>
        </w:div>
        <w:div w:id="812064525">
          <w:marLeft w:val="0"/>
          <w:marRight w:val="0"/>
          <w:marTop w:val="0"/>
          <w:marBottom w:val="0"/>
          <w:divBdr>
            <w:top w:val="none" w:sz="0" w:space="0" w:color="auto"/>
            <w:left w:val="none" w:sz="0" w:space="0" w:color="auto"/>
            <w:bottom w:val="none" w:sz="0" w:space="0" w:color="auto"/>
            <w:right w:val="none" w:sz="0" w:space="0" w:color="auto"/>
          </w:divBdr>
        </w:div>
        <w:div w:id="1427924301">
          <w:marLeft w:val="0"/>
          <w:marRight w:val="0"/>
          <w:marTop w:val="0"/>
          <w:marBottom w:val="0"/>
          <w:divBdr>
            <w:top w:val="none" w:sz="0" w:space="0" w:color="auto"/>
            <w:left w:val="none" w:sz="0" w:space="0" w:color="auto"/>
            <w:bottom w:val="none" w:sz="0" w:space="0" w:color="auto"/>
            <w:right w:val="none" w:sz="0" w:space="0" w:color="auto"/>
          </w:divBdr>
        </w:div>
        <w:div w:id="2144038024">
          <w:marLeft w:val="0"/>
          <w:marRight w:val="0"/>
          <w:marTop w:val="0"/>
          <w:marBottom w:val="0"/>
          <w:divBdr>
            <w:top w:val="none" w:sz="0" w:space="0" w:color="auto"/>
            <w:left w:val="none" w:sz="0" w:space="0" w:color="auto"/>
            <w:bottom w:val="none" w:sz="0" w:space="0" w:color="auto"/>
            <w:right w:val="none" w:sz="0" w:space="0" w:color="auto"/>
          </w:divBdr>
        </w:div>
        <w:div w:id="320816863">
          <w:marLeft w:val="0"/>
          <w:marRight w:val="0"/>
          <w:marTop w:val="0"/>
          <w:marBottom w:val="0"/>
          <w:divBdr>
            <w:top w:val="none" w:sz="0" w:space="0" w:color="auto"/>
            <w:left w:val="none" w:sz="0" w:space="0" w:color="auto"/>
            <w:bottom w:val="none" w:sz="0" w:space="0" w:color="auto"/>
            <w:right w:val="none" w:sz="0" w:space="0" w:color="auto"/>
          </w:divBdr>
        </w:div>
        <w:div w:id="1033845910">
          <w:marLeft w:val="0"/>
          <w:marRight w:val="0"/>
          <w:marTop w:val="0"/>
          <w:marBottom w:val="0"/>
          <w:divBdr>
            <w:top w:val="none" w:sz="0" w:space="0" w:color="auto"/>
            <w:left w:val="none" w:sz="0" w:space="0" w:color="auto"/>
            <w:bottom w:val="none" w:sz="0" w:space="0" w:color="auto"/>
            <w:right w:val="none" w:sz="0" w:space="0" w:color="auto"/>
          </w:divBdr>
        </w:div>
        <w:div w:id="1886601984">
          <w:marLeft w:val="0"/>
          <w:marRight w:val="0"/>
          <w:marTop w:val="0"/>
          <w:marBottom w:val="0"/>
          <w:divBdr>
            <w:top w:val="none" w:sz="0" w:space="0" w:color="auto"/>
            <w:left w:val="none" w:sz="0" w:space="0" w:color="auto"/>
            <w:bottom w:val="none" w:sz="0" w:space="0" w:color="auto"/>
            <w:right w:val="none" w:sz="0" w:space="0" w:color="auto"/>
          </w:divBdr>
        </w:div>
        <w:div w:id="89207409">
          <w:marLeft w:val="0"/>
          <w:marRight w:val="0"/>
          <w:marTop w:val="0"/>
          <w:marBottom w:val="0"/>
          <w:divBdr>
            <w:top w:val="none" w:sz="0" w:space="0" w:color="auto"/>
            <w:left w:val="none" w:sz="0" w:space="0" w:color="auto"/>
            <w:bottom w:val="none" w:sz="0" w:space="0" w:color="auto"/>
            <w:right w:val="none" w:sz="0" w:space="0" w:color="auto"/>
          </w:divBdr>
        </w:div>
        <w:div w:id="772214100">
          <w:marLeft w:val="0"/>
          <w:marRight w:val="0"/>
          <w:marTop w:val="0"/>
          <w:marBottom w:val="0"/>
          <w:divBdr>
            <w:top w:val="none" w:sz="0" w:space="0" w:color="auto"/>
            <w:left w:val="none" w:sz="0" w:space="0" w:color="auto"/>
            <w:bottom w:val="none" w:sz="0" w:space="0" w:color="auto"/>
            <w:right w:val="none" w:sz="0" w:space="0" w:color="auto"/>
          </w:divBdr>
        </w:div>
        <w:div w:id="84301313">
          <w:marLeft w:val="0"/>
          <w:marRight w:val="0"/>
          <w:marTop w:val="0"/>
          <w:marBottom w:val="0"/>
          <w:divBdr>
            <w:top w:val="none" w:sz="0" w:space="0" w:color="auto"/>
            <w:left w:val="none" w:sz="0" w:space="0" w:color="auto"/>
            <w:bottom w:val="none" w:sz="0" w:space="0" w:color="auto"/>
            <w:right w:val="none" w:sz="0" w:space="0" w:color="auto"/>
          </w:divBdr>
        </w:div>
        <w:div w:id="316302685">
          <w:marLeft w:val="0"/>
          <w:marRight w:val="0"/>
          <w:marTop w:val="0"/>
          <w:marBottom w:val="0"/>
          <w:divBdr>
            <w:top w:val="none" w:sz="0" w:space="0" w:color="auto"/>
            <w:left w:val="none" w:sz="0" w:space="0" w:color="auto"/>
            <w:bottom w:val="none" w:sz="0" w:space="0" w:color="auto"/>
            <w:right w:val="none" w:sz="0" w:space="0" w:color="auto"/>
          </w:divBdr>
        </w:div>
        <w:div w:id="1803498442">
          <w:marLeft w:val="0"/>
          <w:marRight w:val="0"/>
          <w:marTop w:val="0"/>
          <w:marBottom w:val="0"/>
          <w:divBdr>
            <w:top w:val="none" w:sz="0" w:space="0" w:color="auto"/>
            <w:left w:val="none" w:sz="0" w:space="0" w:color="auto"/>
            <w:bottom w:val="none" w:sz="0" w:space="0" w:color="auto"/>
            <w:right w:val="none" w:sz="0" w:space="0" w:color="auto"/>
          </w:divBdr>
        </w:div>
        <w:div w:id="1087767730">
          <w:marLeft w:val="0"/>
          <w:marRight w:val="0"/>
          <w:marTop w:val="0"/>
          <w:marBottom w:val="0"/>
          <w:divBdr>
            <w:top w:val="none" w:sz="0" w:space="0" w:color="auto"/>
            <w:left w:val="none" w:sz="0" w:space="0" w:color="auto"/>
            <w:bottom w:val="none" w:sz="0" w:space="0" w:color="auto"/>
            <w:right w:val="none" w:sz="0" w:space="0" w:color="auto"/>
          </w:divBdr>
        </w:div>
        <w:div w:id="1065909325">
          <w:marLeft w:val="0"/>
          <w:marRight w:val="0"/>
          <w:marTop w:val="0"/>
          <w:marBottom w:val="0"/>
          <w:divBdr>
            <w:top w:val="none" w:sz="0" w:space="0" w:color="auto"/>
            <w:left w:val="none" w:sz="0" w:space="0" w:color="auto"/>
            <w:bottom w:val="none" w:sz="0" w:space="0" w:color="auto"/>
            <w:right w:val="none" w:sz="0" w:space="0" w:color="auto"/>
          </w:divBdr>
        </w:div>
        <w:div w:id="1661150682">
          <w:marLeft w:val="0"/>
          <w:marRight w:val="0"/>
          <w:marTop w:val="0"/>
          <w:marBottom w:val="0"/>
          <w:divBdr>
            <w:top w:val="none" w:sz="0" w:space="0" w:color="auto"/>
            <w:left w:val="none" w:sz="0" w:space="0" w:color="auto"/>
            <w:bottom w:val="none" w:sz="0" w:space="0" w:color="auto"/>
            <w:right w:val="none" w:sz="0" w:space="0" w:color="auto"/>
          </w:divBdr>
        </w:div>
        <w:div w:id="1990091127">
          <w:marLeft w:val="0"/>
          <w:marRight w:val="0"/>
          <w:marTop w:val="0"/>
          <w:marBottom w:val="0"/>
          <w:divBdr>
            <w:top w:val="none" w:sz="0" w:space="0" w:color="auto"/>
            <w:left w:val="none" w:sz="0" w:space="0" w:color="auto"/>
            <w:bottom w:val="none" w:sz="0" w:space="0" w:color="auto"/>
            <w:right w:val="none" w:sz="0" w:space="0" w:color="auto"/>
          </w:divBdr>
        </w:div>
        <w:div w:id="802235369">
          <w:marLeft w:val="0"/>
          <w:marRight w:val="0"/>
          <w:marTop w:val="0"/>
          <w:marBottom w:val="0"/>
          <w:divBdr>
            <w:top w:val="none" w:sz="0" w:space="0" w:color="auto"/>
            <w:left w:val="none" w:sz="0" w:space="0" w:color="auto"/>
            <w:bottom w:val="none" w:sz="0" w:space="0" w:color="auto"/>
            <w:right w:val="none" w:sz="0" w:space="0" w:color="auto"/>
          </w:divBdr>
        </w:div>
        <w:div w:id="379400367">
          <w:marLeft w:val="0"/>
          <w:marRight w:val="0"/>
          <w:marTop w:val="0"/>
          <w:marBottom w:val="0"/>
          <w:divBdr>
            <w:top w:val="none" w:sz="0" w:space="0" w:color="auto"/>
            <w:left w:val="none" w:sz="0" w:space="0" w:color="auto"/>
            <w:bottom w:val="none" w:sz="0" w:space="0" w:color="auto"/>
            <w:right w:val="none" w:sz="0" w:space="0" w:color="auto"/>
          </w:divBdr>
        </w:div>
        <w:div w:id="1317878824">
          <w:marLeft w:val="0"/>
          <w:marRight w:val="0"/>
          <w:marTop w:val="0"/>
          <w:marBottom w:val="0"/>
          <w:divBdr>
            <w:top w:val="none" w:sz="0" w:space="0" w:color="auto"/>
            <w:left w:val="none" w:sz="0" w:space="0" w:color="auto"/>
            <w:bottom w:val="none" w:sz="0" w:space="0" w:color="auto"/>
            <w:right w:val="none" w:sz="0" w:space="0" w:color="auto"/>
          </w:divBdr>
        </w:div>
        <w:div w:id="100347714">
          <w:marLeft w:val="0"/>
          <w:marRight w:val="0"/>
          <w:marTop w:val="0"/>
          <w:marBottom w:val="0"/>
          <w:divBdr>
            <w:top w:val="none" w:sz="0" w:space="0" w:color="auto"/>
            <w:left w:val="none" w:sz="0" w:space="0" w:color="auto"/>
            <w:bottom w:val="none" w:sz="0" w:space="0" w:color="auto"/>
            <w:right w:val="none" w:sz="0" w:space="0" w:color="auto"/>
          </w:divBdr>
        </w:div>
        <w:div w:id="529954879">
          <w:marLeft w:val="0"/>
          <w:marRight w:val="0"/>
          <w:marTop w:val="0"/>
          <w:marBottom w:val="0"/>
          <w:divBdr>
            <w:top w:val="none" w:sz="0" w:space="0" w:color="auto"/>
            <w:left w:val="none" w:sz="0" w:space="0" w:color="auto"/>
            <w:bottom w:val="none" w:sz="0" w:space="0" w:color="auto"/>
            <w:right w:val="none" w:sz="0" w:space="0" w:color="auto"/>
          </w:divBdr>
        </w:div>
        <w:div w:id="1039627471">
          <w:marLeft w:val="0"/>
          <w:marRight w:val="0"/>
          <w:marTop w:val="0"/>
          <w:marBottom w:val="0"/>
          <w:divBdr>
            <w:top w:val="none" w:sz="0" w:space="0" w:color="auto"/>
            <w:left w:val="none" w:sz="0" w:space="0" w:color="auto"/>
            <w:bottom w:val="none" w:sz="0" w:space="0" w:color="auto"/>
            <w:right w:val="none" w:sz="0" w:space="0" w:color="auto"/>
          </w:divBdr>
        </w:div>
        <w:div w:id="993877463">
          <w:marLeft w:val="0"/>
          <w:marRight w:val="0"/>
          <w:marTop w:val="0"/>
          <w:marBottom w:val="0"/>
          <w:divBdr>
            <w:top w:val="none" w:sz="0" w:space="0" w:color="auto"/>
            <w:left w:val="none" w:sz="0" w:space="0" w:color="auto"/>
            <w:bottom w:val="none" w:sz="0" w:space="0" w:color="auto"/>
            <w:right w:val="none" w:sz="0" w:space="0" w:color="auto"/>
          </w:divBdr>
        </w:div>
        <w:div w:id="1796483651">
          <w:marLeft w:val="0"/>
          <w:marRight w:val="0"/>
          <w:marTop w:val="0"/>
          <w:marBottom w:val="0"/>
          <w:divBdr>
            <w:top w:val="none" w:sz="0" w:space="0" w:color="auto"/>
            <w:left w:val="none" w:sz="0" w:space="0" w:color="auto"/>
            <w:bottom w:val="none" w:sz="0" w:space="0" w:color="auto"/>
            <w:right w:val="none" w:sz="0" w:space="0" w:color="auto"/>
          </w:divBdr>
        </w:div>
        <w:div w:id="867138154">
          <w:marLeft w:val="0"/>
          <w:marRight w:val="0"/>
          <w:marTop w:val="0"/>
          <w:marBottom w:val="0"/>
          <w:divBdr>
            <w:top w:val="none" w:sz="0" w:space="0" w:color="auto"/>
            <w:left w:val="none" w:sz="0" w:space="0" w:color="auto"/>
            <w:bottom w:val="none" w:sz="0" w:space="0" w:color="auto"/>
            <w:right w:val="none" w:sz="0" w:space="0" w:color="auto"/>
          </w:divBdr>
        </w:div>
        <w:div w:id="471677108">
          <w:marLeft w:val="0"/>
          <w:marRight w:val="0"/>
          <w:marTop w:val="0"/>
          <w:marBottom w:val="0"/>
          <w:divBdr>
            <w:top w:val="none" w:sz="0" w:space="0" w:color="auto"/>
            <w:left w:val="none" w:sz="0" w:space="0" w:color="auto"/>
            <w:bottom w:val="none" w:sz="0" w:space="0" w:color="auto"/>
            <w:right w:val="none" w:sz="0" w:space="0" w:color="auto"/>
          </w:divBdr>
        </w:div>
        <w:div w:id="1460610019">
          <w:marLeft w:val="0"/>
          <w:marRight w:val="0"/>
          <w:marTop w:val="0"/>
          <w:marBottom w:val="0"/>
          <w:divBdr>
            <w:top w:val="none" w:sz="0" w:space="0" w:color="auto"/>
            <w:left w:val="none" w:sz="0" w:space="0" w:color="auto"/>
            <w:bottom w:val="none" w:sz="0" w:space="0" w:color="auto"/>
            <w:right w:val="none" w:sz="0" w:space="0" w:color="auto"/>
          </w:divBdr>
        </w:div>
        <w:div w:id="1468159090">
          <w:marLeft w:val="0"/>
          <w:marRight w:val="0"/>
          <w:marTop w:val="0"/>
          <w:marBottom w:val="0"/>
          <w:divBdr>
            <w:top w:val="none" w:sz="0" w:space="0" w:color="auto"/>
            <w:left w:val="none" w:sz="0" w:space="0" w:color="auto"/>
            <w:bottom w:val="none" w:sz="0" w:space="0" w:color="auto"/>
            <w:right w:val="none" w:sz="0" w:space="0" w:color="auto"/>
          </w:divBdr>
        </w:div>
        <w:div w:id="1779762840">
          <w:marLeft w:val="0"/>
          <w:marRight w:val="0"/>
          <w:marTop w:val="0"/>
          <w:marBottom w:val="0"/>
          <w:divBdr>
            <w:top w:val="none" w:sz="0" w:space="0" w:color="auto"/>
            <w:left w:val="none" w:sz="0" w:space="0" w:color="auto"/>
            <w:bottom w:val="none" w:sz="0" w:space="0" w:color="auto"/>
            <w:right w:val="none" w:sz="0" w:space="0" w:color="auto"/>
          </w:divBdr>
        </w:div>
        <w:div w:id="2140567319">
          <w:marLeft w:val="0"/>
          <w:marRight w:val="0"/>
          <w:marTop w:val="0"/>
          <w:marBottom w:val="0"/>
          <w:divBdr>
            <w:top w:val="none" w:sz="0" w:space="0" w:color="auto"/>
            <w:left w:val="none" w:sz="0" w:space="0" w:color="auto"/>
            <w:bottom w:val="none" w:sz="0" w:space="0" w:color="auto"/>
            <w:right w:val="none" w:sz="0" w:space="0" w:color="auto"/>
          </w:divBdr>
        </w:div>
        <w:div w:id="311721377">
          <w:marLeft w:val="0"/>
          <w:marRight w:val="0"/>
          <w:marTop w:val="0"/>
          <w:marBottom w:val="0"/>
          <w:divBdr>
            <w:top w:val="none" w:sz="0" w:space="0" w:color="auto"/>
            <w:left w:val="none" w:sz="0" w:space="0" w:color="auto"/>
            <w:bottom w:val="none" w:sz="0" w:space="0" w:color="auto"/>
            <w:right w:val="none" w:sz="0" w:space="0" w:color="auto"/>
          </w:divBdr>
        </w:div>
        <w:div w:id="1275407186">
          <w:marLeft w:val="0"/>
          <w:marRight w:val="0"/>
          <w:marTop w:val="0"/>
          <w:marBottom w:val="0"/>
          <w:divBdr>
            <w:top w:val="none" w:sz="0" w:space="0" w:color="auto"/>
            <w:left w:val="none" w:sz="0" w:space="0" w:color="auto"/>
            <w:bottom w:val="none" w:sz="0" w:space="0" w:color="auto"/>
            <w:right w:val="none" w:sz="0" w:space="0" w:color="auto"/>
          </w:divBdr>
        </w:div>
        <w:div w:id="1556698121">
          <w:marLeft w:val="0"/>
          <w:marRight w:val="0"/>
          <w:marTop w:val="0"/>
          <w:marBottom w:val="0"/>
          <w:divBdr>
            <w:top w:val="none" w:sz="0" w:space="0" w:color="auto"/>
            <w:left w:val="none" w:sz="0" w:space="0" w:color="auto"/>
            <w:bottom w:val="none" w:sz="0" w:space="0" w:color="auto"/>
            <w:right w:val="none" w:sz="0" w:space="0" w:color="auto"/>
          </w:divBdr>
        </w:div>
        <w:div w:id="2052683171">
          <w:marLeft w:val="0"/>
          <w:marRight w:val="0"/>
          <w:marTop w:val="0"/>
          <w:marBottom w:val="0"/>
          <w:divBdr>
            <w:top w:val="none" w:sz="0" w:space="0" w:color="auto"/>
            <w:left w:val="none" w:sz="0" w:space="0" w:color="auto"/>
            <w:bottom w:val="none" w:sz="0" w:space="0" w:color="auto"/>
            <w:right w:val="none" w:sz="0" w:space="0" w:color="auto"/>
          </w:divBdr>
        </w:div>
        <w:div w:id="2128812260">
          <w:marLeft w:val="0"/>
          <w:marRight w:val="0"/>
          <w:marTop w:val="0"/>
          <w:marBottom w:val="0"/>
          <w:divBdr>
            <w:top w:val="none" w:sz="0" w:space="0" w:color="auto"/>
            <w:left w:val="none" w:sz="0" w:space="0" w:color="auto"/>
            <w:bottom w:val="none" w:sz="0" w:space="0" w:color="auto"/>
            <w:right w:val="none" w:sz="0" w:space="0" w:color="auto"/>
          </w:divBdr>
        </w:div>
        <w:div w:id="846099880">
          <w:marLeft w:val="0"/>
          <w:marRight w:val="0"/>
          <w:marTop w:val="0"/>
          <w:marBottom w:val="0"/>
          <w:divBdr>
            <w:top w:val="none" w:sz="0" w:space="0" w:color="auto"/>
            <w:left w:val="none" w:sz="0" w:space="0" w:color="auto"/>
            <w:bottom w:val="none" w:sz="0" w:space="0" w:color="auto"/>
            <w:right w:val="none" w:sz="0" w:space="0" w:color="auto"/>
          </w:divBdr>
        </w:div>
        <w:div w:id="1283995737">
          <w:marLeft w:val="0"/>
          <w:marRight w:val="0"/>
          <w:marTop w:val="0"/>
          <w:marBottom w:val="0"/>
          <w:divBdr>
            <w:top w:val="none" w:sz="0" w:space="0" w:color="auto"/>
            <w:left w:val="none" w:sz="0" w:space="0" w:color="auto"/>
            <w:bottom w:val="none" w:sz="0" w:space="0" w:color="auto"/>
            <w:right w:val="none" w:sz="0" w:space="0" w:color="auto"/>
          </w:divBdr>
        </w:div>
        <w:div w:id="390856919">
          <w:marLeft w:val="0"/>
          <w:marRight w:val="0"/>
          <w:marTop w:val="0"/>
          <w:marBottom w:val="0"/>
          <w:divBdr>
            <w:top w:val="none" w:sz="0" w:space="0" w:color="auto"/>
            <w:left w:val="none" w:sz="0" w:space="0" w:color="auto"/>
            <w:bottom w:val="none" w:sz="0" w:space="0" w:color="auto"/>
            <w:right w:val="none" w:sz="0" w:space="0" w:color="auto"/>
          </w:divBdr>
        </w:div>
        <w:div w:id="729159449">
          <w:marLeft w:val="0"/>
          <w:marRight w:val="0"/>
          <w:marTop w:val="0"/>
          <w:marBottom w:val="0"/>
          <w:divBdr>
            <w:top w:val="none" w:sz="0" w:space="0" w:color="auto"/>
            <w:left w:val="none" w:sz="0" w:space="0" w:color="auto"/>
            <w:bottom w:val="none" w:sz="0" w:space="0" w:color="auto"/>
            <w:right w:val="none" w:sz="0" w:space="0" w:color="auto"/>
          </w:divBdr>
        </w:div>
        <w:div w:id="116611689">
          <w:marLeft w:val="0"/>
          <w:marRight w:val="0"/>
          <w:marTop w:val="0"/>
          <w:marBottom w:val="0"/>
          <w:divBdr>
            <w:top w:val="none" w:sz="0" w:space="0" w:color="auto"/>
            <w:left w:val="none" w:sz="0" w:space="0" w:color="auto"/>
            <w:bottom w:val="none" w:sz="0" w:space="0" w:color="auto"/>
            <w:right w:val="none" w:sz="0" w:space="0" w:color="auto"/>
          </w:divBdr>
        </w:div>
        <w:div w:id="1519343792">
          <w:marLeft w:val="0"/>
          <w:marRight w:val="0"/>
          <w:marTop w:val="0"/>
          <w:marBottom w:val="0"/>
          <w:divBdr>
            <w:top w:val="none" w:sz="0" w:space="0" w:color="auto"/>
            <w:left w:val="none" w:sz="0" w:space="0" w:color="auto"/>
            <w:bottom w:val="none" w:sz="0" w:space="0" w:color="auto"/>
            <w:right w:val="none" w:sz="0" w:space="0" w:color="auto"/>
          </w:divBdr>
        </w:div>
        <w:div w:id="838618613">
          <w:marLeft w:val="0"/>
          <w:marRight w:val="0"/>
          <w:marTop w:val="0"/>
          <w:marBottom w:val="0"/>
          <w:divBdr>
            <w:top w:val="none" w:sz="0" w:space="0" w:color="auto"/>
            <w:left w:val="none" w:sz="0" w:space="0" w:color="auto"/>
            <w:bottom w:val="none" w:sz="0" w:space="0" w:color="auto"/>
            <w:right w:val="none" w:sz="0" w:space="0" w:color="auto"/>
          </w:divBdr>
        </w:div>
        <w:div w:id="196897546">
          <w:marLeft w:val="0"/>
          <w:marRight w:val="0"/>
          <w:marTop w:val="0"/>
          <w:marBottom w:val="0"/>
          <w:divBdr>
            <w:top w:val="none" w:sz="0" w:space="0" w:color="auto"/>
            <w:left w:val="none" w:sz="0" w:space="0" w:color="auto"/>
            <w:bottom w:val="none" w:sz="0" w:space="0" w:color="auto"/>
            <w:right w:val="none" w:sz="0" w:space="0" w:color="auto"/>
          </w:divBdr>
        </w:div>
        <w:div w:id="560218055">
          <w:marLeft w:val="0"/>
          <w:marRight w:val="0"/>
          <w:marTop w:val="0"/>
          <w:marBottom w:val="0"/>
          <w:divBdr>
            <w:top w:val="none" w:sz="0" w:space="0" w:color="auto"/>
            <w:left w:val="none" w:sz="0" w:space="0" w:color="auto"/>
            <w:bottom w:val="none" w:sz="0" w:space="0" w:color="auto"/>
            <w:right w:val="none" w:sz="0" w:space="0" w:color="auto"/>
          </w:divBdr>
        </w:div>
        <w:div w:id="331957188">
          <w:marLeft w:val="0"/>
          <w:marRight w:val="0"/>
          <w:marTop w:val="0"/>
          <w:marBottom w:val="0"/>
          <w:divBdr>
            <w:top w:val="none" w:sz="0" w:space="0" w:color="auto"/>
            <w:left w:val="none" w:sz="0" w:space="0" w:color="auto"/>
            <w:bottom w:val="none" w:sz="0" w:space="0" w:color="auto"/>
            <w:right w:val="none" w:sz="0" w:space="0" w:color="auto"/>
          </w:divBdr>
        </w:div>
        <w:div w:id="1543134842">
          <w:marLeft w:val="0"/>
          <w:marRight w:val="0"/>
          <w:marTop w:val="0"/>
          <w:marBottom w:val="0"/>
          <w:divBdr>
            <w:top w:val="none" w:sz="0" w:space="0" w:color="auto"/>
            <w:left w:val="none" w:sz="0" w:space="0" w:color="auto"/>
            <w:bottom w:val="none" w:sz="0" w:space="0" w:color="auto"/>
            <w:right w:val="none" w:sz="0" w:space="0" w:color="auto"/>
          </w:divBdr>
        </w:div>
        <w:div w:id="563178349">
          <w:marLeft w:val="0"/>
          <w:marRight w:val="0"/>
          <w:marTop w:val="0"/>
          <w:marBottom w:val="0"/>
          <w:divBdr>
            <w:top w:val="none" w:sz="0" w:space="0" w:color="auto"/>
            <w:left w:val="none" w:sz="0" w:space="0" w:color="auto"/>
            <w:bottom w:val="none" w:sz="0" w:space="0" w:color="auto"/>
            <w:right w:val="none" w:sz="0" w:space="0" w:color="auto"/>
          </w:divBdr>
        </w:div>
        <w:div w:id="559099935">
          <w:marLeft w:val="0"/>
          <w:marRight w:val="0"/>
          <w:marTop w:val="0"/>
          <w:marBottom w:val="0"/>
          <w:divBdr>
            <w:top w:val="none" w:sz="0" w:space="0" w:color="auto"/>
            <w:left w:val="none" w:sz="0" w:space="0" w:color="auto"/>
            <w:bottom w:val="none" w:sz="0" w:space="0" w:color="auto"/>
            <w:right w:val="none" w:sz="0" w:space="0" w:color="auto"/>
          </w:divBdr>
        </w:div>
        <w:div w:id="783112655">
          <w:marLeft w:val="0"/>
          <w:marRight w:val="0"/>
          <w:marTop w:val="0"/>
          <w:marBottom w:val="0"/>
          <w:divBdr>
            <w:top w:val="none" w:sz="0" w:space="0" w:color="auto"/>
            <w:left w:val="none" w:sz="0" w:space="0" w:color="auto"/>
            <w:bottom w:val="none" w:sz="0" w:space="0" w:color="auto"/>
            <w:right w:val="none" w:sz="0" w:space="0" w:color="auto"/>
          </w:divBdr>
        </w:div>
        <w:div w:id="1073164053">
          <w:marLeft w:val="0"/>
          <w:marRight w:val="0"/>
          <w:marTop w:val="0"/>
          <w:marBottom w:val="0"/>
          <w:divBdr>
            <w:top w:val="none" w:sz="0" w:space="0" w:color="auto"/>
            <w:left w:val="none" w:sz="0" w:space="0" w:color="auto"/>
            <w:bottom w:val="none" w:sz="0" w:space="0" w:color="auto"/>
            <w:right w:val="none" w:sz="0" w:space="0" w:color="auto"/>
          </w:divBdr>
        </w:div>
        <w:div w:id="1576277405">
          <w:marLeft w:val="0"/>
          <w:marRight w:val="0"/>
          <w:marTop w:val="0"/>
          <w:marBottom w:val="0"/>
          <w:divBdr>
            <w:top w:val="none" w:sz="0" w:space="0" w:color="auto"/>
            <w:left w:val="none" w:sz="0" w:space="0" w:color="auto"/>
            <w:bottom w:val="none" w:sz="0" w:space="0" w:color="auto"/>
            <w:right w:val="none" w:sz="0" w:space="0" w:color="auto"/>
          </w:divBdr>
        </w:div>
        <w:div w:id="2038657465">
          <w:marLeft w:val="0"/>
          <w:marRight w:val="0"/>
          <w:marTop w:val="0"/>
          <w:marBottom w:val="0"/>
          <w:divBdr>
            <w:top w:val="none" w:sz="0" w:space="0" w:color="auto"/>
            <w:left w:val="none" w:sz="0" w:space="0" w:color="auto"/>
            <w:bottom w:val="none" w:sz="0" w:space="0" w:color="auto"/>
            <w:right w:val="none" w:sz="0" w:space="0" w:color="auto"/>
          </w:divBdr>
        </w:div>
        <w:div w:id="2111974661">
          <w:marLeft w:val="0"/>
          <w:marRight w:val="0"/>
          <w:marTop w:val="0"/>
          <w:marBottom w:val="0"/>
          <w:divBdr>
            <w:top w:val="none" w:sz="0" w:space="0" w:color="auto"/>
            <w:left w:val="none" w:sz="0" w:space="0" w:color="auto"/>
            <w:bottom w:val="none" w:sz="0" w:space="0" w:color="auto"/>
            <w:right w:val="none" w:sz="0" w:space="0" w:color="auto"/>
          </w:divBdr>
        </w:div>
        <w:div w:id="1869173969">
          <w:marLeft w:val="0"/>
          <w:marRight w:val="0"/>
          <w:marTop w:val="0"/>
          <w:marBottom w:val="0"/>
          <w:divBdr>
            <w:top w:val="none" w:sz="0" w:space="0" w:color="auto"/>
            <w:left w:val="none" w:sz="0" w:space="0" w:color="auto"/>
            <w:bottom w:val="none" w:sz="0" w:space="0" w:color="auto"/>
            <w:right w:val="none" w:sz="0" w:space="0" w:color="auto"/>
          </w:divBdr>
        </w:div>
        <w:div w:id="2022125983">
          <w:marLeft w:val="0"/>
          <w:marRight w:val="0"/>
          <w:marTop w:val="0"/>
          <w:marBottom w:val="0"/>
          <w:divBdr>
            <w:top w:val="none" w:sz="0" w:space="0" w:color="auto"/>
            <w:left w:val="none" w:sz="0" w:space="0" w:color="auto"/>
            <w:bottom w:val="none" w:sz="0" w:space="0" w:color="auto"/>
            <w:right w:val="none" w:sz="0" w:space="0" w:color="auto"/>
          </w:divBdr>
        </w:div>
        <w:div w:id="1167401841">
          <w:marLeft w:val="0"/>
          <w:marRight w:val="0"/>
          <w:marTop w:val="0"/>
          <w:marBottom w:val="0"/>
          <w:divBdr>
            <w:top w:val="none" w:sz="0" w:space="0" w:color="auto"/>
            <w:left w:val="none" w:sz="0" w:space="0" w:color="auto"/>
            <w:bottom w:val="none" w:sz="0" w:space="0" w:color="auto"/>
            <w:right w:val="none" w:sz="0" w:space="0" w:color="auto"/>
          </w:divBdr>
        </w:div>
        <w:div w:id="1729260715">
          <w:marLeft w:val="0"/>
          <w:marRight w:val="0"/>
          <w:marTop w:val="0"/>
          <w:marBottom w:val="0"/>
          <w:divBdr>
            <w:top w:val="none" w:sz="0" w:space="0" w:color="auto"/>
            <w:left w:val="none" w:sz="0" w:space="0" w:color="auto"/>
            <w:bottom w:val="none" w:sz="0" w:space="0" w:color="auto"/>
            <w:right w:val="none" w:sz="0" w:space="0" w:color="auto"/>
          </w:divBdr>
        </w:div>
        <w:div w:id="1018846748">
          <w:marLeft w:val="0"/>
          <w:marRight w:val="0"/>
          <w:marTop w:val="0"/>
          <w:marBottom w:val="0"/>
          <w:divBdr>
            <w:top w:val="none" w:sz="0" w:space="0" w:color="auto"/>
            <w:left w:val="none" w:sz="0" w:space="0" w:color="auto"/>
            <w:bottom w:val="none" w:sz="0" w:space="0" w:color="auto"/>
            <w:right w:val="none" w:sz="0" w:space="0" w:color="auto"/>
          </w:divBdr>
        </w:div>
        <w:div w:id="1335303837">
          <w:marLeft w:val="0"/>
          <w:marRight w:val="0"/>
          <w:marTop w:val="0"/>
          <w:marBottom w:val="0"/>
          <w:divBdr>
            <w:top w:val="none" w:sz="0" w:space="0" w:color="auto"/>
            <w:left w:val="none" w:sz="0" w:space="0" w:color="auto"/>
            <w:bottom w:val="none" w:sz="0" w:space="0" w:color="auto"/>
            <w:right w:val="none" w:sz="0" w:space="0" w:color="auto"/>
          </w:divBdr>
        </w:div>
        <w:div w:id="1009722789">
          <w:marLeft w:val="0"/>
          <w:marRight w:val="0"/>
          <w:marTop w:val="0"/>
          <w:marBottom w:val="0"/>
          <w:divBdr>
            <w:top w:val="none" w:sz="0" w:space="0" w:color="auto"/>
            <w:left w:val="none" w:sz="0" w:space="0" w:color="auto"/>
            <w:bottom w:val="none" w:sz="0" w:space="0" w:color="auto"/>
            <w:right w:val="none" w:sz="0" w:space="0" w:color="auto"/>
          </w:divBdr>
        </w:div>
        <w:div w:id="816189082">
          <w:marLeft w:val="0"/>
          <w:marRight w:val="0"/>
          <w:marTop w:val="0"/>
          <w:marBottom w:val="0"/>
          <w:divBdr>
            <w:top w:val="none" w:sz="0" w:space="0" w:color="auto"/>
            <w:left w:val="none" w:sz="0" w:space="0" w:color="auto"/>
            <w:bottom w:val="none" w:sz="0" w:space="0" w:color="auto"/>
            <w:right w:val="none" w:sz="0" w:space="0" w:color="auto"/>
          </w:divBdr>
        </w:div>
        <w:div w:id="650788237">
          <w:marLeft w:val="0"/>
          <w:marRight w:val="0"/>
          <w:marTop w:val="0"/>
          <w:marBottom w:val="0"/>
          <w:divBdr>
            <w:top w:val="none" w:sz="0" w:space="0" w:color="auto"/>
            <w:left w:val="none" w:sz="0" w:space="0" w:color="auto"/>
            <w:bottom w:val="none" w:sz="0" w:space="0" w:color="auto"/>
            <w:right w:val="none" w:sz="0" w:space="0" w:color="auto"/>
          </w:divBdr>
        </w:div>
        <w:div w:id="1421368863">
          <w:marLeft w:val="0"/>
          <w:marRight w:val="0"/>
          <w:marTop w:val="0"/>
          <w:marBottom w:val="0"/>
          <w:divBdr>
            <w:top w:val="none" w:sz="0" w:space="0" w:color="auto"/>
            <w:left w:val="none" w:sz="0" w:space="0" w:color="auto"/>
            <w:bottom w:val="none" w:sz="0" w:space="0" w:color="auto"/>
            <w:right w:val="none" w:sz="0" w:space="0" w:color="auto"/>
          </w:divBdr>
        </w:div>
        <w:div w:id="666442982">
          <w:marLeft w:val="0"/>
          <w:marRight w:val="0"/>
          <w:marTop w:val="0"/>
          <w:marBottom w:val="0"/>
          <w:divBdr>
            <w:top w:val="none" w:sz="0" w:space="0" w:color="auto"/>
            <w:left w:val="none" w:sz="0" w:space="0" w:color="auto"/>
            <w:bottom w:val="none" w:sz="0" w:space="0" w:color="auto"/>
            <w:right w:val="none" w:sz="0" w:space="0" w:color="auto"/>
          </w:divBdr>
        </w:div>
        <w:div w:id="678973668">
          <w:marLeft w:val="0"/>
          <w:marRight w:val="0"/>
          <w:marTop w:val="0"/>
          <w:marBottom w:val="0"/>
          <w:divBdr>
            <w:top w:val="none" w:sz="0" w:space="0" w:color="auto"/>
            <w:left w:val="none" w:sz="0" w:space="0" w:color="auto"/>
            <w:bottom w:val="none" w:sz="0" w:space="0" w:color="auto"/>
            <w:right w:val="none" w:sz="0" w:space="0" w:color="auto"/>
          </w:divBdr>
        </w:div>
        <w:div w:id="1235042325">
          <w:marLeft w:val="0"/>
          <w:marRight w:val="0"/>
          <w:marTop w:val="0"/>
          <w:marBottom w:val="0"/>
          <w:divBdr>
            <w:top w:val="none" w:sz="0" w:space="0" w:color="auto"/>
            <w:left w:val="none" w:sz="0" w:space="0" w:color="auto"/>
            <w:bottom w:val="none" w:sz="0" w:space="0" w:color="auto"/>
            <w:right w:val="none" w:sz="0" w:space="0" w:color="auto"/>
          </w:divBdr>
        </w:div>
        <w:div w:id="1818448510">
          <w:marLeft w:val="0"/>
          <w:marRight w:val="0"/>
          <w:marTop w:val="0"/>
          <w:marBottom w:val="0"/>
          <w:divBdr>
            <w:top w:val="none" w:sz="0" w:space="0" w:color="auto"/>
            <w:left w:val="none" w:sz="0" w:space="0" w:color="auto"/>
            <w:bottom w:val="none" w:sz="0" w:space="0" w:color="auto"/>
            <w:right w:val="none" w:sz="0" w:space="0" w:color="auto"/>
          </w:divBdr>
        </w:div>
        <w:div w:id="843938123">
          <w:marLeft w:val="0"/>
          <w:marRight w:val="0"/>
          <w:marTop w:val="0"/>
          <w:marBottom w:val="0"/>
          <w:divBdr>
            <w:top w:val="none" w:sz="0" w:space="0" w:color="auto"/>
            <w:left w:val="none" w:sz="0" w:space="0" w:color="auto"/>
            <w:bottom w:val="none" w:sz="0" w:space="0" w:color="auto"/>
            <w:right w:val="none" w:sz="0" w:space="0" w:color="auto"/>
          </w:divBdr>
        </w:div>
        <w:div w:id="131025720">
          <w:marLeft w:val="0"/>
          <w:marRight w:val="0"/>
          <w:marTop w:val="0"/>
          <w:marBottom w:val="0"/>
          <w:divBdr>
            <w:top w:val="none" w:sz="0" w:space="0" w:color="auto"/>
            <w:left w:val="none" w:sz="0" w:space="0" w:color="auto"/>
            <w:bottom w:val="none" w:sz="0" w:space="0" w:color="auto"/>
            <w:right w:val="none" w:sz="0" w:space="0" w:color="auto"/>
          </w:divBdr>
        </w:div>
        <w:div w:id="122236304">
          <w:marLeft w:val="0"/>
          <w:marRight w:val="0"/>
          <w:marTop w:val="0"/>
          <w:marBottom w:val="0"/>
          <w:divBdr>
            <w:top w:val="none" w:sz="0" w:space="0" w:color="auto"/>
            <w:left w:val="none" w:sz="0" w:space="0" w:color="auto"/>
            <w:bottom w:val="none" w:sz="0" w:space="0" w:color="auto"/>
            <w:right w:val="none" w:sz="0" w:space="0" w:color="auto"/>
          </w:divBdr>
        </w:div>
        <w:div w:id="1798446744">
          <w:marLeft w:val="0"/>
          <w:marRight w:val="0"/>
          <w:marTop w:val="0"/>
          <w:marBottom w:val="0"/>
          <w:divBdr>
            <w:top w:val="none" w:sz="0" w:space="0" w:color="auto"/>
            <w:left w:val="none" w:sz="0" w:space="0" w:color="auto"/>
            <w:bottom w:val="none" w:sz="0" w:space="0" w:color="auto"/>
            <w:right w:val="none" w:sz="0" w:space="0" w:color="auto"/>
          </w:divBdr>
        </w:div>
        <w:div w:id="134765850">
          <w:marLeft w:val="0"/>
          <w:marRight w:val="0"/>
          <w:marTop w:val="0"/>
          <w:marBottom w:val="0"/>
          <w:divBdr>
            <w:top w:val="none" w:sz="0" w:space="0" w:color="auto"/>
            <w:left w:val="none" w:sz="0" w:space="0" w:color="auto"/>
            <w:bottom w:val="none" w:sz="0" w:space="0" w:color="auto"/>
            <w:right w:val="none" w:sz="0" w:space="0" w:color="auto"/>
          </w:divBdr>
        </w:div>
        <w:div w:id="746850400">
          <w:marLeft w:val="0"/>
          <w:marRight w:val="0"/>
          <w:marTop w:val="0"/>
          <w:marBottom w:val="0"/>
          <w:divBdr>
            <w:top w:val="none" w:sz="0" w:space="0" w:color="auto"/>
            <w:left w:val="none" w:sz="0" w:space="0" w:color="auto"/>
            <w:bottom w:val="none" w:sz="0" w:space="0" w:color="auto"/>
            <w:right w:val="none" w:sz="0" w:space="0" w:color="auto"/>
          </w:divBdr>
        </w:div>
        <w:div w:id="1453010320">
          <w:marLeft w:val="0"/>
          <w:marRight w:val="0"/>
          <w:marTop w:val="0"/>
          <w:marBottom w:val="0"/>
          <w:divBdr>
            <w:top w:val="none" w:sz="0" w:space="0" w:color="auto"/>
            <w:left w:val="none" w:sz="0" w:space="0" w:color="auto"/>
            <w:bottom w:val="none" w:sz="0" w:space="0" w:color="auto"/>
            <w:right w:val="none" w:sz="0" w:space="0" w:color="auto"/>
          </w:divBdr>
        </w:div>
        <w:div w:id="305739244">
          <w:marLeft w:val="0"/>
          <w:marRight w:val="0"/>
          <w:marTop w:val="0"/>
          <w:marBottom w:val="0"/>
          <w:divBdr>
            <w:top w:val="none" w:sz="0" w:space="0" w:color="auto"/>
            <w:left w:val="none" w:sz="0" w:space="0" w:color="auto"/>
            <w:bottom w:val="none" w:sz="0" w:space="0" w:color="auto"/>
            <w:right w:val="none" w:sz="0" w:space="0" w:color="auto"/>
          </w:divBdr>
        </w:div>
        <w:div w:id="374621915">
          <w:marLeft w:val="0"/>
          <w:marRight w:val="0"/>
          <w:marTop w:val="0"/>
          <w:marBottom w:val="0"/>
          <w:divBdr>
            <w:top w:val="none" w:sz="0" w:space="0" w:color="auto"/>
            <w:left w:val="none" w:sz="0" w:space="0" w:color="auto"/>
            <w:bottom w:val="none" w:sz="0" w:space="0" w:color="auto"/>
            <w:right w:val="none" w:sz="0" w:space="0" w:color="auto"/>
          </w:divBdr>
        </w:div>
        <w:div w:id="993023766">
          <w:marLeft w:val="0"/>
          <w:marRight w:val="0"/>
          <w:marTop w:val="0"/>
          <w:marBottom w:val="0"/>
          <w:divBdr>
            <w:top w:val="none" w:sz="0" w:space="0" w:color="auto"/>
            <w:left w:val="none" w:sz="0" w:space="0" w:color="auto"/>
            <w:bottom w:val="none" w:sz="0" w:space="0" w:color="auto"/>
            <w:right w:val="none" w:sz="0" w:space="0" w:color="auto"/>
          </w:divBdr>
        </w:div>
        <w:div w:id="826941923">
          <w:marLeft w:val="0"/>
          <w:marRight w:val="0"/>
          <w:marTop w:val="0"/>
          <w:marBottom w:val="0"/>
          <w:divBdr>
            <w:top w:val="none" w:sz="0" w:space="0" w:color="auto"/>
            <w:left w:val="none" w:sz="0" w:space="0" w:color="auto"/>
            <w:bottom w:val="none" w:sz="0" w:space="0" w:color="auto"/>
            <w:right w:val="none" w:sz="0" w:space="0" w:color="auto"/>
          </w:divBdr>
        </w:div>
        <w:div w:id="356734866">
          <w:marLeft w:val="0"/>
          <w:marRight w:val="0"/>
          <w:marTop w:val="0"/>
          <w:marBottom w:val="0"/>
          <w:divBdr>
            <w:top w:val="none" w:sz="0" w:space="0" w:color="auto"/>
            <w:left w:val="none" w:sz="0" w:space="0" w:color="auto"/>
            <w:bottom w:val="none" w:sz="0" w:space="0" w:color="auto"/>
            <w:right w:val="none" w:sz="0" w:space="0" w:color="auto"/>
          </w:divBdr>
        </w:div>
        <w:div w:id="1260412220">
          <w:marLeft w:val="0"/>
          <w:marRight w:val="0"/>
          <w:marTop w:val="0"/>
          <w:marBottom w:val="0"/>
          <w:divBdr>
            <w:top w:val="none" w:sz="0" w:space="0" w:color="auto"/>
            <w:left w:val="none" w:sz="0" w:space="0" w:color="auto"/>
            <w:bottom w:val="none" w:sz="0" w:space="0" w:color="auto"/>
            <w:right w:val="none" w:sz="0" w:space="0" w:color="auto"/>
          </w:divBdr>
        </w:div>
        <w:div w:id="1008171713">
          <w:marLeft w:val="0"/>
          <w:marRight w:val="0"/>
          <w:marTop w:val="0"/>
          <w:marBottom w:val="0"/>
          <w:divBdr>
            <w:top w:val="none" w:sz="0" w:space="0" w:color="auto"/>
            <w:left w:val="none" w:sz="0" w:space="0" w:color="auto"/>
            <w:bottom w:val="none" w:sz="0" w:space="0" w:color="auto"/>
            <w:right w:val="none" w:sz="0" w:space="0" w:color="auto"/>
          </w:divBdr>
        </w:div>
        <w:div w:id="317733064">
          <w:marLeft w:val="0"/>
          <w:marRight w:val="0"/>
          <w:marTop w:val="0"/>
          <w:marBottom w:val="0"/>
          <w:divBdr>
            <w:top w:val="none" w:sz="0" w:space="0" w:color="auto"/>
            <w:left w:val="none" w:sz="0" w:space="0" w:color="auto"/>
            <w:bottom w:val="none" w:sz="0" w:space="0" w:color="auto"/>
            <w:right w:val="none" w:sz="0" w:space="0" w:color="auto"/>
          </w:divBdr>
        </w:div>
        <w:div w:id="1055423035">
          <w:marLeft w:val="0"/>
          <w:marRight w:val="0"/>
          <w:marTop w:val="0"/>
          <w:marBottom w:val="0"/>
          <w:divBdr>
            <w:top w:val="none" w:sz="0" w:space="0" w:color="auto"/>
            <w:left w:val="none" w:sz="0" w:space="0" w:color="auto"/>
            <w:bottom w:val="none" w:sz="0" w:space="0" w:color="auto"/>
            <w:right w:val="none" w:sz="0" w:space="0" w:color="auto"/>
          </w:divBdr>
        </w:div>
        <w:div w:id="590820032">
          <w:marLeft w:val="0"/>
          <w:marRight w:val="0"/>
          <w:marTop w:val="0"/>
          <w:marBottom w:val="0"/>
          <w:divBdr>
            <w:top w:val="none" w:sz="0" w:space="0" w:color="auto"/>
            <w:left w:val="none" w:sz="0" w:space="0" w:color="auto"/>
            <w:bottom w:val="none" w:sz="0" w:space="0" w:color="auto"/>
            <w:right w:val="none" w:sz="0" w:space="0" w:color="auto"/>
          </w:divBdr>
        </w:div>
        <w:div w:id="1072125206">
          <w:marLeft w:val="0"/>
          <w:marRight w:val="0"/>
          <w:marTop w:val="0"/>
          <w:marBottom w:val="0"/>
          <w:divBdr>
            <w:top w:val="none" w:sz="0" w:space="0" w:color="auto"/>
            <w:left w:val="none" w:sz="0" w:space="0" w:color="auto"/>
            <w:bottom w:val="none" w:sz="0" w:space="0" w:color="auto"/>
            <w:right w:val="none" w:sz="0" w:space="0" w:color="auto"/>
          </w:divBdr>
        </w:div>
        <w:div w:id="2029796182">
          <w:marLeft w:val="0"/>
          <w:marRight w:val="0"/>
          <w:marTop w:val="0"/>
          <w:marBottom w:val="0"/>
          <w:divBdr>
            <w:top w:val="none" w:sz="0" w:space="0" w:color="auto"/>
            <w:left w:val="none" w:sz="0" w:space="0" w:color="auto"/>
            <w:bottom w:val="none" w:sz="0" w:space="0" w:color="auto"/>
            <w:right w:val="none" w:sz="0" w:space="0" w:color="auto"/>
          </w:divBdr>
        </w:div>
        <w:div w:id="537931066">
          <w:marLeft w:val="0"/>
          <w:marRight w:val="0"/>
          <w:marTop w:val="0"/>
          <w:marBottom w:val="0"/>
          <w:divBdr>
            <w:top w:val="none" w:sz="0" w:space="0" w:color="auto"/>
            <w:left w:val="none" w:sz="0" w:space="0" w:color="auto"/>
            <w:bottom w:val="none" w:sz="0" w:space="0" w:color="auto"/>
            <w:right w:val="none" w:sz="0" w:space="0" w:color="auto"/>
          </w:divBdr>
        </w:div>
        <w:div w:id="385883983">
          <w:marLeft w:val="0"/>
          <w:marRight w:val="0"/>
          <w:marTop w:val="0"/>
          <w:marBottom w:val="0"/>
          <w:divBdr>
            <w:top w:val="none" w:sz="0" w:space="0" w:color="auto"/>
            <w:left w:val="none" w:sz="0" w:space="0" w:color="auto"/>
            <w:bottom w:val="none" w:sz="0" w:space="0" w:color="auto"/>
            <w:right w:val="none" w:sz="0" w:space="0" w:color="auto"/>
          </w:divBdr>
        </w:div>
        <w:div w:id="331564103">
          <w:marLeft w:val="0"/>
          <w:marRight w:val="0"/>
          <w:marTop w:val="0"/>
          <w:marBottom w:val="0"/>
          <w:divBdr>
            <w:top w:val="none" w:sz="0" w:space="0" w:color="auto"/>
            <w:left w:val="none" w:sz="0" w:space="0" w:color="auto"/>
            <w:bottom w:val="none" w:sz="0" w:space="0" w:color="auto"/>
            <w:right w:val="none" w:sz="0" w:space="0" w:color="auto"/>
          </w:divBdr>
        </w:div>
        <w:div w:id="1794127467">
          <w:marLeft w:val="0"/>
          <w:marRight w:val="0"/>
          <w:marTop w:val="0"/>
          <w:marBottom w:val="0"/>
          <w:divBdr>
            <w:top w:val="none" w:sz="0" w:space="0" w:color="auto"/>
            <w:left w:val="none" w:sz="0" w:space="0" w:color="auto"/>
            <w:bottom w:val="none" w:sz="0" w:space="0" w:color="auto"/>
            <w:right w:val="none" w:sz="0" w:space="0" w:color="auto"/>
          </w:divBdr>
        </w:div>
        <w:div w:id="280649107">
          <w:marLeft w:val="0"/>
          <w:marRight w:val="0"/>
          <w:marTop w:val="0"/>
          <w:marBottom w:val="0"/>
          <w:divBdr>
            <w:top w:val="none" w:sz="0" w:space="0" w:color="auto"/>
            <w:left w:val="none" w:sz="0" w:space="0" w:color="auto"/>
            <w:bottom w:val="none" w:sz="0" w:space="0" w:color="auto"/>
            <w:right w:val="none" w:sz="0" w:space="0" w:color="auto"/>
          </w:divBdr>
        </w:div>
        <w:div w:id="421872420">
          <w:marLeft w:val="0"/>
          <w:marRight w:val="0"/>
          <w:marTop w:val="0"/>
          <w:marBottom w:val="0"/>
          <w:divBdr>
            <w:top w:val="none" w:sz="0" w:space="0" w:color="auto"/>
            <w:left w:val="none" w:sz="0" w:space="0" w:color="auto"/>
            <w:bottom w:val="none" w:sz="0" w:space="0" w:color="auto"/>
            <w:right w:val="none" w:sz="0" w:space="0" w:color="auto"/>
          </w:divBdr>
        </w:div>
        <w:div w:id="739401122">
          <w:marLeft w:val="0"/>
          <w:marRight w:val="0"/>
          <w:marTop w:val="0"/>
          <w:marBottom w:val="0"/>
          <w:divBdr>
            <w:top w:val="none" w:sz="0" w:space="0" w:color="auto"/>
            <w:left w:val="none" w:sz="0" w:space="0" w:color="auto"/>
            <w:bottom w:val="none" w:sz="0" w:space="0" w:color="auto"/>
            <w:right w:val="none" w:sz="0" w:space="0" w:color="auto"/>
          </w:divBdr>
        </w:div>
        <w:div w:id="1303346074">
          <w:marLeft w:val="0"/>
          <w:marRight w:val="0"/>
          <w:marTop w:val="0"/>
          <w:marBottom w:val="0"/>
          <w:divBdr>
            <w:top w:val="none" w:sz="0" w:space="0" w:color="auto"/>
            <w:left w:val="none" w:sz="0" w:space="0" w:color="auto"/>
            <w:bottom w:val="none" w:sz="0" w:space="0" w:color="auto"/>
            <w:right w:val="none" w:sz="0" w:space="0" w:color="auto"/>
          </w:divBdr>
        </w:div>
        <w:div w:id="982931095">
          <w:marLeft w:val="0"/>
          <w:marRight w:val="0"/>
          <w:marTop w:val="0"/>
          <w:marBottom w:val="0"/>
          <w:divBdr>
            <w:top w:val="none" w:sz="0" w:space="0" w:color="auto"/>
            <w:left w:val="none" w:sz="0" w:space="0" w:color="auto"/>
            <w:bottom w:val="none" w:sz="0" w:space="0" w:color="auto"/>
            <w:right w:val="none" w:sz="0" w:space="0" w:color="auto"/>
          </w:divBdr>
        </w:div>
        <w:div w:id="131994298">
          <w:marLeft w:val="0"/>
          <w:marRight w:val="0"/>
          <w:marTop w:val="0"/>
          <w:marBottom w:val="0"/>
          <w:divBdr>
            <w:top w:val="none" w:sz="0" w:space="0" w:color="auto"/>
            <w:left w:val="none" w:sz="0" w:space="0" w:color="auto"/>
            <w:bottom w:val="none" w:sz="0" w:space="0" w:color="auto"/>
            <w:right w:val="none" w:sz="0" w:space="0" w:color="auto"/>
          </w:divBdr>
        </w:div>
        <w:div w:id="55974019">
          <w:marLeft w:val="0"/>
          <w:marRight w:val="0"/>
          <w:marTop w:val="0"/>
          <w:marBottom w:val="0"/>
          <w:divBdr>
            <w:top w:val="none" w:sz="0" w:space="0" w:color="auto"/>
            <w:left w:val="none" w:sz="0" w:space="0" w:color="auto"/>
            <w:bottom w:val="none" w:sz="0" w:space="0" w:color="auto"/>
            <w:right w:val="none" w:sz="0" w:space="0" w:color="auto"/>
          </w:divBdr>
        </w:div>
        <w:div w:id="1456871399">
          <w:marLeft w:val="0"/>
          <w:marRight w:val="0"/>
          <w:marTop w:val="0"/>
          <w:marBottom w:val="0"/>
          <w:divBdr>
            <w:top w:val="none" w:sz="0" w:space="0" w:color="auto"/>
            <w:left w:val="none" w:sz="0" w:space="0" w:color="auto"/>
            <w:bottom w:val="none" w:sz="0" w:space="0" w:color="auto"/>
            <w:right w:val="none" w:sz="0" w:space="0" w:color="auto"/>
          </w:divBdr>
        </w:div>
        <w:div w:id="1713075618">
          <w:marLeft w:val="0"/>
          <w:marRight w:val="0"/>
          <w:marTop w:val="0"/>
          <w:marBottom w:val="0"/>
          <w:divBdr>
            <w:top w:val="none" w:sz="0" w:space="0" w:color="auto"/>
            <w:left w:val="none" w:sz="0" w:space="0" w:color="auto"/>
            <w:bottom w:val="none" w:sz="0" w:space="0" w:color="auto"/>
            <w:right w:val="none" w:sz="0" w:space="0" w:color="auto"/>
          </w:divBdr>
        </w:div>
        <w:div w:id="525413682">
          <w:marLeft w:val="0"/>
          <w:marRight w:val="0"/>
          <w:marTop w:val="0"/>
          <w:marBottom w:val="0"/>
          <w:divBdr>
            <w:top w:val="none" w:sz="0" w:space="0" w:color="auto"/>
            <w:left w:val="none" w:sz="0" w:space="0" w:color="auto"/>
            <w:bottom w:val="none" w:sz="0" w:space="0" w:color="auto"/>
            <w:right w:val="none" w:sz="0" w:space="0" w:color="auto"/>
          </w:divBdr>
        </w:div>
        <w:div w:id="755631393">
          <w:marLeft w:val="0"/>
          <w:marRight w:val="0"/>
          <w:marTop w:val="0"/>
          <w:marBottom w:val="0"/>
          <w:divBdr>
            <w:top w:val="none" w:sz="0" w:space="0" w:color="auto"/>
            <w:left w:val="none" w:sz="0" w:space="0" w:color="auto"/>
            <w:bottom w:val="none" w:sz="0" w:space="0" w:color="auto"/>
            <w:right w:val="none" w:sz="0" w:space="0" w:color="auto"/>
          </w:divBdr>
        </w:div>
        <w:div w:id="85461935">
          <w:marLeft w:val="0"/>
          <w:marRight w:val="0"/>
          <w:marTop w:val="0"/>
          <w:marBottom w:val="0"/>
          <w:divBdr>
            <w:top w:val="none" w:sz="0" w:space="0" w:color="auto"/>
            <w:left w:val="none" w:sz="0" w:space="0" w:color="auto"/>
            <w:bottom w:val="none" w:sz="0" w:space="0" w:color="auto"/>
            <w:right w:val="none" w:sz="0" w:space="0" w:color="auto"/>
          </w:divBdr>
        </w:div>
        <w:div w:id="1666277534">
          <w:marLeft w:val="0"/>
          <w:marRight w:val="0"/>
          <w:marTop w:val="0"/>
          <w:marBottom w:val="0"/>
          <w:divBdr>
            <w:top w:val="none" w:sz="0" w:space="0" w:color="auto"/>
            <w:left w:val="none" w:sz="0" w:space="0" w:color="auto"/>
            <w:bottom w:val="none" w:sz="0" w:space="0" w:color="auto"/>
            <w:right w:val="none" w:sz="0" w:space="0" w:color="auto"/>
          </w:divBdr>
        </w:div>
        <w:div w:id="1462723722">
          <w:marLeft w:val="0"/>
          <w:marRight w:val="0"/>
          <w:marTop w:val="0"/>
          <w:marBottom w:val="0"/>
          <w:divBdr>
            <w:top w:val="none" w:sz="0" w:space="0" w:color="auto"/>
            <w:left w:val="none" w:sz="0" w:space="0" w:color="auto"/>
            <w:bottom w:val="none" w:sz="0" w:space="0" w:color="auto"/>
            <w:right w:val="none" w:sz="0" w:space="0" w:color="auto"/>
          </w:divBdr>
        </w:div>
        <w:div w:id="132868164">
          <w:marLeft w:val="0"/>
          <w:marRight w:val="0"/>
          <w:marTop w:val="0"/>
          <w:marBottom w:val="0"/>
          <w:divBdr>
            <w:top w:val="none" w:sz="0" w:space="0" w:color="auto"/>
            <w:left w:val="none" w:sz="0" w:space="0" w:color="auto"/>
            <w:bottom w:val="none" w:sz="0" w:space="0" w:color="auto"/>
            <w:right w:val="none" w:sz="0" w:space="0" w:color="auto"/>
          </w:divBdr>
        </w:div>
        <w:div w:id="795223711">
          <w:marLeft w:val="0"/>
          <w:marRight w:val="0"/>
          <w:marTop w:val="0"/>
          <w:marBottom w:val="0"/>
          <w:divBdr>
            <w:top w:val="none" w:sz="0" w:space="0" w:color="auto"/>
            <w:left w:val="none" w:sz="0" w:space="0" w:color="auto"/>
            <w:bottom w:val="none" w:sz="0" w:space="0" w:color="auto"/>
            <w:right w:val="none" w:sz="0" w:space="0" w:color="auto"/>
          </w:divBdr>
        </w:div>
        <w:div w:id="726100951">
          <w:marLeft w:val="0"/>
          <w:marRight w:val="0"/>
          <w:marTop w:val="0"/>
          <w:marBottom w:val="0"/>
          <w:divBdr>
            <w:top w:val="none" w:sz="0" w:space="0" w:color="auto"/>
            <w:left w:val="none" w:sz="0" w:space="0" w:color="auto"/>
            <w:bottom w:val="none" w:sz="0" w:space="0" w:color="auto"/>
            <w:right w:val="none" w:sz="0" w:space="0" w:color="auto"/>
          </w:divBdr>
        </w:div>
        <w:div w:id="2110157778">
          <w:marLeft w:val="0"/>
          <w:marRight w:val="0"/>
          <w:marTop w:val="0"/>
          <w:marBottom w:val="0"/>
          <w:divBdr>
            <w:top w:val="none" w:sz="0" w:space="0" w:color="auto"/>
            <w:left w:val="none" w:sz="0" w:space="0" w:color="auto"/>
            <w:bottom w:val="none" w:sz="0" w:space="0" w:color="auto"/>
            <w:right w:val="none" w:sz="0" w:space="0" w:color="auto"/>
          </w:divBdr>
        </w:div>
        <w:div w:id="2139836163">
          <w:marLeft w:val="0"/>
          <w:marRight w:val="0"/>
          <w:marTop w:val="0"/>
          <w:marBottom w:val="0"/>
          <w:divBdr>
            <w:top w:val="none" w:sz="0" w:space="0" w:color="auto"/>
            <w:left w:val="none" w:sz="0" w:space="0" w:color="auto"/>
            <w:bottom w:val="none" w:sz="0" w:space="0" w:color="auto"/>
            <w:right w:val="none" w:sz="0" w:space="0" w:color="auto"/>
          </w:divBdr>
        </w:div>
        <w:div w:id="530339130">
          <w:marLeft w:val="0"/>
          <w:marRight w:val="0"/>
          <w:marTop w:val="0"/>
          <w:marBottom w:val="0"/>
          <w:divBdr>
            <w:top w:val="none" w:sz="0" w:space="0" w:color="auto"/>
            <w:left w:val="none" w:sz="0" w:space="0" w:color="auto"/>
            <w:bottom w:val="none" w:sz="0" w:space="0" w:color="auto"/>
            <w:right w:val="none" w:sz="0" w:space="0" w:color="auto"/>
          </w:divBdr>
        </w:div>
        <w:div w:id="183137976">
          <w:marLeft w:val="0"/>
          <w:marRight w:val="0"/>
          <w:marTop w:val="0"/>
          <w:marBottom w:val="0"/>
          <w:divBdr>
            <w:top w:val="none" w:sz="0" w:space="0" w:color="auto"/>
            <w:left w:val="none" w:sz="0" w:space="0" w:color="auto"/>
            <w:bottom w:val="none" w:sz="0" w:space="0" w:color="auto"/>
            <w:right w:val="none" w:sz="0" w:space="0" w:color="auto"/>
          </w:divBdr>
        </w:div>
        <w:div w:id="1199512274">
          <w:marLeft w:val="0"/>
          <w:marRight w:val="0"/>
          <w:marTop w:val="0"/>
          <w:marBottom w:val="0"/>
          <w:divBdr>
            <w:top w:val="none" w:sz="0" w:space="0" w:color="auto"/>
            <w:left w:val="none" w:sz="0" w:space="0" w:color="auto"/>
            <w:bottom w:val="none" w:sz="0" w:space="0" w:color="auto"/>
            <w:right w:val="none" w:sz="0" w:space="0" w:color="auto"/>
          </w:divBdr>
        </w:div>
        <w:div w:id="1568227728">
          <w:marLeft w:val="0"/>
          <w:marRight w:val="0"/>
          <w:marTop w:val="0"/>
          <w:marBottom w:val="0"/>
          <w:divBdr>
            <w:top w:val="none" w:sz="0" w:space="0" w:color="auto"/>
            <w:left w:val="none" w:sz="0" w:space="0" w:color="auto"/>
            <w:bottom w:val="none" w:sz="0" w:space="0" w:color="auto"/>
            <w:right w:val="none" w:sz="0" w:space="0" w:color="auto"/>
          </w:divBdr>
        </w:div>
        <w:div w:id="1686831800">
          <w:marLeft w:val="0"/>
          <w:marRight w:val="0"/>
          <w:marTop w:val="0"/>
          <w:marBottom w:val="0"/>
          <w:divBdr>
            <w:top w:val="none" w:sz="0" w:space="0" w:color="auto"/>
            <w:left w:val="none" w:sz="0" w:space="0" w:color="auto"/>
            <w:bottom w:val="none" w:sz="0" w:space="0" w:color="auto"/>
            <w:right w:val="none" w:sz="0" w:space="0" w:color="auto"/>
          </w:divBdr>
        </w:div>
        <w:div w:id="709845368">
          <w:marLeft w:val="0"/>
          <w:marRight w:val="0"/>
          <w:marTop w:val="0"/>
          <w:marBottom w:val="0"/>
          <w:divBdr>
            <w:top w:val="none" w:sz="0" w:space="0" w:color="auto"/>
            <w:left w:val="none" w:sz="0" w:space="0" w:color="auto"/>
            <w:bottom w:val="none" w:sz="0" w:space="0" w:color="auto"/>
            <w:right w:val="none" w:sz="0" w:space="0" w:color="auto"/>
          </w:divBdr>
        </w:div>
        <w:div w:id="1992248776">
          <w:marLeft w:val="0"/>
          <w:marRight w:val="0"/>
          <w:marTop w:val="0"/>
          <w:marBottom w:val="0"/>
          <w:divBdr>
            <w:top w:val="none" w:sz="0" w:space="0" w:color="auto"/>
            <w:left w:val="none" w:sz="0" w:space="0" w:color="auto"/>
            <w:bottom w:val="none" w:sz="0" w:space="0" w:color="auto"/>
            <w:right w:val="none" w:sz="0" w:space="0" w:color="auto"/>
          </w:divBdr>
        </w:div>
        <w:div w:id="1445534913">
          <w:marLeft w:val="0"/>
          <w:marRight w:val="0"/>
          <w:marTop w:val="0"/>
          <w:marBottom w:val="0"/>
          <w:divBdr>
            <w:top w:val="none" w:sz="0" w:space="0" w:color="auto"/>
            <w:left w:val="none" w:sz="0" w:space="0" w:color="auto"/>
            <w:bottom w:val="none" w:sz="0" w:space="0" w:color="auto"/>
            <w:right w:val="none" w:sz="0" w:space="0" w:color="auto"/>
          </w:divBdr>
        </w:div>
        <w:div w:id="709307335">
          <w:marLeft w:val="0"/>
          <w:marRight w:val="0"/>
          <w:marTop w:val="0"/>
          <w:marBottom w:val="0"/>
          <w:divBdr>
            <w:top w:val="none" w:sz="0" w:space="0" w:color="auto"/>
            <w:left w:val="none" w:sz="0" w:space="0" w:color="auto"/>
            <w:bottom w:val="none" w:sz="0" w:space="0" w:color="auto"/>
            <w:right w:val="none" w:sz="0" w:space="0" w:color="auto"/>
          </w:divBdr>
        </w:div>
        <w:div w:id="1565876770">
          <w:marLeft w:val="0"/>
          <w:marRight w:val="0"/>
          <w:marTop w:val="0"/>
          <w:marBottom w:val="0"/>
          <w:divBdr>
            <w:top w:val="none" w:sz="0" w:space="0" w:color="auto"/>
            <w:left w:val="none" w:sz="0" w:space="0" w:color="auto"/>
            <w:bottom w:val="none" w:sz="0" w:space="0" w:color="auto"/>
            <w:right w:val="none" w:sz="0" w:space="0" w:color="auto"/>
          </w:divBdr>
        </w:div>
        <w:div w:id="359085655">
          <w:marLeft w:val="0"/>
          <w:marRight w:val="0"/>
          <w:marTop w:val="0"/>
          <w:marBottom w:val="0"/>
          <w:divBdr>
            <w:top w:val="none" w:sz="0" w:space="0" w:color="auto"/>
            <w:left w:val="none" w:sz="0" w:space="0" w:color="auto"/>
            <w:bottom w:val="none" w:sz="0" w:space="0" w:color="auto"/>
            <w:right w:val="none" w:sz="0" w:space="0" w:color="auto"/>
          </w:divBdr>
        </w:div>
        <w:div w:id="1941521278">
          <w:marLeft w:val="0"/>
          <w:marRight w:val="0"/>
          <w:marTop w:val="0"/>
          <w:marBottom w:val="0"/>
          <w:divBdr>
            <w:top w:val="none" w:sz="0" w:space="0" w:color="auto"/>
            <w:left w:val="none" w:sz="0" w:space="0" w:color="auto"/>
            <w:bottom w:val="none" w:sz="0" w:space="0" w:color="auto"/>
            <w:right w:val="none" w:sz="0" w:space="0" w:color="auto"/>
          </w:divBdr>
        </w:div>
        <w:div w:id="663817417">
          <w:marLeft w:val="0"/>
          <w:marRight w:val="0"/>
          <w:marTop w:val="0"/>
          <w:marBottom w:val="0"/>
          <w:divBdr>
            <w:top w:val="none" w:sz="0" w:space="0" w:color="auto"/>
            <w:left w:val="none" w:sz="0" w:space="0" w:color="auto"/>
            <w:bottom w:val="none" w:sz="0" w:space="0" w:color="auto"/>
            <w:right w:val="none" w:sz="0" w:space="0" w:color="auto"/>
          </w:divBdr>
        </w:div>
        <w:div w:id="1576470540">
          <w:marLeft w:val="0"/>
          <w:marRight w:val="0"/>
          <w:marTop w:val="0"/>
          <w:marBottom w:val="0"/>
          <w:divBdr>
            <w:top w:val="none" w:sz="0" w:space="0" w:color="auto"/>
            <w:left w:val="none" w:sz="0" w:space="0" w:color="auto"/>
            <w:bottom w:val="none" w:sz="0" w:space="0" w:color="auto"/>
            <w:right w:val="none" w:sz="0" w:space="0" w:color="auto"/>
          </w:divBdr>
        </w:div>
        <w:div w:id="1505516030">
          <w:marLeft w:val="0"/>
          <w:marRight w:val="0"/>
          <w:marTop w:val="0"/>
          <w:marBottom w:val="0"/>
          <w:divBdr>
            <w:top w:val="none" w:sz="0" w:space="0" w:color="auto"/>
            <w:left w:val="none" w:sz="0" w:space="0" w:color="auto"/>
            <w:bottom w:val="none" w:sz="0" w:space="0" w:color="auto"/>
            <w:right w:val="none" w:sz="0" w:space="0" w:color="auto"/>
          </w:divBdr>
        </w:div>
        <w:div w:id="339741931">
          <w:marLeft w:val="0"/>
          <w:marRight w:val="0"/>
          <w:marTop w:val="0"/>
          <w:marBottom w:val="0"/>
          <w:divBdr>
            <w:top w:val="none" w:sz="0" w:space="0" w:color="auto"/>
            <w:left w:val="none" w:sz="0" w:space="0" w:color="auto"/>
            <w:bottom w:val="none" w:sz="0" w:space="0" w:color="auto"/>
            <w:right w:val="none" w:sz="0" w:space="0" w:color="auto"/>
          </w:divBdr>
        </w:div>
        <w:div w:id="946306454">
          <w:marLeft w:val="0"/>
          <w:marRight w:val="0"/>
          <w:marTop w:val="0"/>
          <w:marBottom w:val="0"/>
          <w:divBdr>
            <w:top w:val="none" w:sz="0" w:space="0" w:color="auto"/>
            <w:left w:val="none" w:sz="0" w:space="0" w:color="auto"/>
            <w:bottom w:val="none" w:sz="0" w:space="0" w:color="auto"/>
            <w:right w:val="none" w:sz="0" w:space="0" w:color="auto"/>
          </w:divBdr>
        </w:div>
        <w:div w:id="1021668041">
          <w:marLeft w:val="0"/>
          <w:marRight w:val="0"/>
          <w:marTop w:val="0"/>
          <w:marBottom w:val="0"/>
          <w:divBdr>
            <w:top w:val="none" w:sz="0" w:space="0" w:color="auto"/>
            <w:left w:val="none" w:sz="0" w:space="0" w:color="auto"/>
            <w:bottom w:val="none" w:sz="0" w:space="0" w:color="auto"/>
            <w:right w:val="none" w:sz="0" w:space="0" w:color="auto"/>
          </w:divBdr>
        </w:div>
        <w:div w:id="246425917">
          <w:marLeft w:val="0"/>
          <w:marRight w:val="0"/>
          <w:marTop w:val="0"/>
          <w:marBottom w:val="0"/>
          <w:divBdr>
            <w:top w:val="none" w:sz="0" w:space="0" w:color="auto"/>
            <w:left w:val="none" w:sz="0" w:space="0" w:color="auto"/>
            <w:bottom w:val="none" w:sz="0" w:space="0" w:color="auto"/>
            <w:right w:val="none" w:sz="0" w:space="0" w:color="auto"/>
          </w:divBdr>
        </w:div>
        <w:div w:id="2139951300">
          <w:marLeft w:val="0"/>
          <w:marRight w:val="0"/>
          <w:marTop w:val="0"/>
          <w:marBottom w:val="0"/>
          <w:divBdr>
            <w:top w:val="none" w:sz="0" w:space="0" w:color="auto"/>
            <w:left w:val="none" w:sz="0" w:space="0" w:color="auto"/>
            <w:bottom w:val="none" w:sz="0" w:space="0" w:color="auto"/>
            <w:right w:val="none" w:sz="0" w:space="0" w:color="auto"/>
          </w:divBdr>
        </w:div>
        <w:div w:id="1003699646">
          <w:marLeft w:val="0"/>
          <w:marRight w:val="0"/>
          <w:marTop w:val="0"/>
          <w:marBottom w:val="0"/>
          <w:divBdr>
            <w:top w:val="none" w:sz="0" w:space="0" w:color="auto"/>
            <w:left w:val="none" w:sz="0" w:space="0" w:color="auto"/>
            <w:bottom w:val="none" w:sz="0" w:space="0" w:color="auto"/>
            <w:right w:val="none" w:sz="0" w:space="0" w:color="auto"/>
          </w:divBdr>
        </w:div>
        <w:div w:id="446238557">
          <w:marLeft w:val="0"/>
          <w:marRight w:val="0"/>
          <w:marTop w:val="0"/>
          <w:marBottom w:val="0"/>
          <w:divBdr>
            <w:top w:val="none" w:sz="0" w:space="0" w:color="auto"/>
            <w:left w:val="none" w:sz="0" w:space="0" w:color="auto"/>
            <w:bottom w:val="none" w:sz="0" w:space="0" w:color="auto"/>
            <w:right w:val="none" w:sz="0" w:space="0" w:color="auto"/>
          </w:divBdr>
        </w:div>
        <w:div w:id="1911573810">
          <w:marLeft w:val="0"/>
          <w:marRight w:val="0"/>
          <w:marTop w:val="0"/>
          <w:marBottom w:val="0"/>
          <w:divBdr>
            <w:top w:val="none" w:sz="0" w:space="0" w:color="auto"/>
            <w:left w:val="none" w:sz="0" w:space="0" w:color="auto"/>
            <w:bottom w:val="none" w:sz="0" w:space="0" w:color="auto"/>
            <w:right w:val="none" w:sz="0" w:space="0" w:color="auto"/>
          </w:divBdr>
        </w:div>
        <w:div w:id="43145180">
          <w:marLeft w:val="0"/>
          <w:marRight w:val="0"/>
          <w:marTop w:val="0"/>
          <w:marBottom w:val="0"/>
          <w:divBdr>
            <w:top w:val="none" w:sz="0" w:space="0" w:color="auto"/>
            <w:left w:val="none" w:sz="0" w:space="0" w:color="auto"/>
            <w:bottom w:val="none" w:sz="0" w:space="0" w:color="auto"/>
            <w:right w:val="none" w:sz="0" w:space="0" w:color="auto"/>
          </w:divBdr>
        </w:div>
        <w:div w:id="1460803367">
          <w:marLeft w:val="0"/>
          <w:marRight w:val="0"/>
          <w:marTop w:val="0"/>
          <w:marBottom w:val="0"/>
          <w:divBdr>
            <w:top w:val="none" w:sz="0" w:space="0" w:color="auto"/>
            <w:left w:val="none" w:sz="0" w:space="0" w:color="auto"/>
            <w:bottom w:val="none" w:sz="0" w:space="0" w:color="auto"/>
            <w:right w:val="none" w:sz="0" w:space="0" w:color="auto"/>
          </w:divBdr>
        </w:div>
        <w:div w:id="1719167390">
          <w:marLeft w:val="0"/>
          <w:marRight w:val="0"/>
          <w:marTop w:val="0"/>
          <w:marBottom w:val="0"/>
          <w:divBdr>
            <w:top w:val="none" w:sz="0" w:space="0" w:color="auto"/>
            <w:left w:val="none" w:sz="0" w:space="0" w:color="auto"/>
            <w:bottom w:val="none" w:sz="0" w:space="0" w:color="auto"/>
            <w:right w:val="none" w:sz="0" w:space="0" w:color="auto"/>
          </w:divBdr>
        </w:div>
        <w:div w:id="564999409">
          <w:marLeft w:val="0"/>
          <w:marRight w:val="0"/>
          <w:marTop w:val="0"/>
          <w:marBottom w:val="0"/>
          <w:divBdr>
            <w:top w:val="none" w:sz="0" w:space="0" w:color="auto"/>
            <w:left w:val="none" w:sz="0" w:space="0" w:color="auto"/>
            <w:bottom w:val="none" w:sz="0" w:space="0" w:color="auto"/>
            <w:right w:val="none" w:sz="0" w:space="0" w:color="auto"/>
          </w:divBdr>
        </w:div>
        <w:div w:id="891768416">
          <w:marLeft w:val="0"/>
          <w:marRight w:val="0"/>
          <w:marTop w:val="0"/>
          <w:marBottom w:val="0"/>
          <w:divBdr>
            <w:top w:val="none" w:sz="0" w:space="0" w:color="auto"/>
            <w:left w:val="none" w:sz="0" w:space="0" w:color="auto"/>
            <w:bottom w:val="none" w:sz="0" w:space="0" w:color="auto"/>
            <w:right w:val="none" w:sz="0" w:space="0" w:color="auto"/>
          </w:divBdr>
        </w:div>
        <w:div w:id="9450413">
          <w:marLeft w:val="0"/>
          <w:marRight w:val="0"/>
          <w:marTop w:val="0"/>
          <w:marBottom w:val="0"/>
          <w:divBdr>
            <w:top w:val="none" w:sz="0" w:space="0" w:color="auto"/>
            <w:left w:val="none" w:sz="0" w:space="0" w:color="auto"/>
            <w:bottom w:val="none" w:sz="0" w:space="0" w:color="auto"/>
            <w:right w:val="none" w:sz="0" w:space="0" w:color="auto"/>
          </w:divBdr>
        </w:div>
        <w:div w:id="80838455">
          <w:marLeft w:val="0"/>
          <w:marRight w:val="0"/>
          <w:marTop w:val="0"/>
          <w:marBottom w:val="0"/>
          <w:divBdr>
            <w:top w:val="none" w:sz="0" w:space="0" w:color="auto"/>
            <w:left w:val="none" w:sz="0" w:space="0" w:color="auto"/>
            <w:bottom w:val="none" w:sz="0" w:space="0" w:color="auto"/>
            <w:right w:val="none" w:sz="0" w:space="0" w:color="auto"/>
          </w:divBdr>
        </w:div>
        <w:div w:id="2136561141">
          <w:marLeft w:val="0"/>
          <w:marRight w:val="0"/>
          <w:marTop w:val="0"/>
          <w:marBottom w:val="0"/>
          <w:divBdr>
            <w:top w:val="none" w:sz="0" w:space="0" w:color="auto"/>
            <w:left w:val="none" w:sz="0" w:space="0" w:color="auto"/>
            <w:bottom w:val="none" w:sz="0" w:space="0" w:color="auto"/>
            <w:right w:val="none" w:sz="0" w:space="0" w:color="auto"/>
          </w:divBdr>
        </w:div>
        <w:div w:id="407196382">
          <w:marLeft w:val="0"/>
          <w:marRight w:val="0"/>
          <w:marTop w:val="0"/>
          <w:marBottom w:val="0"/>
          <w:divBdr>
            <w:top w:val="none" w:sz="0" w:space="0" w:color="auto"/>
            <w:left w:val="none" w:sz="0" w:space="0" w:color="auto"/>
            <w:bottom w:val="none" w:sz="0" w:space="0" w:color="auto"/>
            <w:right w:val="none" w:sz="0" w:space="0" w:color="auto"/>
          </w:divBdr>
        </w:div>
        <w:div w:id="982463576">
          <w:marLeft w:val="0"/>
          <w:marRight w:val="0"/>
          <w:marTop w:val="0"/>
          <w:marBottom w:val="0"/>
          <w:divBdr>
            <w:top w:val="none" w:sz="0" w:space="0" w:color="auto"/>
            <w:left w:val="none" w:sz="0" w:space="0" w:color="auto"/>
            <w:bottom w:val="none" w:sz="0" w:space="0" w:color="auto"/>
            <w:right w:val="none" w:sz="0" w:space="0" w:color="auto"/>
          </w:divBdr>
        </w:div>
        <w:div w:id="777027535">
          <w:marLeft w:val="0"/>
          <w:marRight w:val="0"/>
          <w:marTop w:val="0"/>
          <w:marBottom w:val="0"/>
          <w:divBdr>
            <w:top w:val="none" w:sz="0" w:space="0" w:color="auto"/>
            <w:left w:val="none" w:sz="0" w:space="0" w:color="auto"/>
            <w:bottom w:val="none" w:sz="0" w:space="0" w:color="auto"/>
            <w:right w:val="none" w:sz="0" w:space="0" w:color="auto"/>
          </w:divBdr>
        </w:div>
        <w:div w:id="1460107844">
          <w:marLeft w:val="0"/>
          <w:marRight w:val="0"/>
          <w:marTop w:val="0"/>
          <w:marBottom w:val="0"/>
          <w:divBdr>
            <w:top w:val="none" w:sz="0" w:space="0" w:color="auto"/>
            <w:left w:val="none" w:sz="0" w:space="0" w:color="auto"/>
            <w:bottom w:val="none" w:sz="0" w:space="0" w:color="auto"/>
            <w:right w:val="none" w:sz="0" w:space="0" w:color="auto"/>
          </w:divBdr>
        </w:div>
        <w:div w:id="1144393102">
          <w:marLeft w:val="0"/>
          <w:marRight w:val="0"/>
          <w:marTop w:val="0"/>
          <w:marBottom w:val="0"/>
          <w:divBdr>
            <w:top w:val="none" w:sz="0" w:space="0" w:color="auto"/>
            <w:left w:val="none" w:sz="0" w:space="0" w:color="auto"/>
            <w:bottom w:val="none" w:sz="0" w:space="0" w:color="auto"/>
            <w:right w:val="none" w:sz="0" w:space="0" w:color="auto"/>
          </w:divBdr>
        </w:div>
        <w:div w:id="156651947">
          <w:marLeft w:val="0"/>
          <w:marRight w:val="0"/>
          <w:marTop w:val="0"/>
          <w:marBottom w:val="0"/>
          <w:divBdr>
            <w:top w:val="none" w:sz="0" w:space="0" w:color="auto"/>
            <w:left w:val="none" w:sz="0" w:space="0" w:color="auto"/>
            <w:bottom w:val="none" w:sz="0" w:space="0" w:color="auto"/>
            <w:right w:val="none" w:sz="0" w:space="0" w:color="auto"/>
          </w:divBdr>
        </w:div>
        <w:div w:id="1241407647">
          <w:marLeft w:val="0"/>
          <w:marRight w:val="0"/>
          <w:marTop w:val="0"/>
          <w:marBottom w:val="0"/>
          <w:divBdr>
            <w:top w:val="none" w:sz="0" w:space="0" w:color="auto"/>
            <w:left w:val="none" w:sz="0" w:space="0" w:color="auto"/>
            <w:bottom w:val="none" w:sz="0" w:space="0" w:color="auto"/>
            <w:right w:val="none" w:sz="0" w:space="0" w:color="auto"/>
          </w:divBdr>
        </w:div>
        <w:div w:id="828327485">
          <w:marLeft w:val="0"/>
          <w:marRight w:val="0"/>
          <w:marTop w:val="0"/>
          <w:marBottom w:val="0"/>
          <w:divBdr>
            <w:top w:val="none" w:sz="0" w:space="0" w:color="auto"/>
            <w:left w:val="none" w:sz="0" w:space="0" w:color="auto"/>
            <w:bottom w:val="none" w:sz="0" w:space="0" w:color="auto"/>
            <w:right w:val="none" w:sz="0" w:space="0" w:color="auto"/>
          </w:divBdr>
        </w:div>
        <w:div w:id="548763356">
          <w:marLeft w:val="0"/>
          <w:marRight w:val="0"/>
          <w:marTop w:val="0"/>
          <w:marBottom w:val="0"/>
          <w:divBdr>
            <w:top w:val="none" w:sz="0" w:space="0" w:color="auto"/>
            <w:left w:val="none" w:sz="0" w:space="0" w:color="auto"/>
            <w:bottom w:val="none" w:sz="0" w:space="0" w:color="auto"/>
            <w:right w:val="none" w:sz="0" w:space="0" w:color="auto"/>
          </w:divBdr>
        </w:div>
        <w:div w:id="1814132583">
          <w:marLeft w:val="0"/>
          <w:marRight w:val="0"/>
          <w:marTop w:val="0"/>
          <w:marBottom w:val="0"/>
          <w:divBdr>
            <w:top w:val="none" w:sz="0" w:space="0" w:color="auto"/>
            <w:left w:val="none" w:sz="0" w:space="0" w:color="auto"/>
            <w:bottom w:val="none" w:sz="0" w:space="0" w:color="auto"/>
            <w:right w:val="none" w:sz="0" w:space="0" w:color="auto"/>
          </w:divBdr>
        </w:div>
        <w:div w:id="1851335733">
          <w:marLeft w:val="0"/>
          <w:marRight w:val="0"/>
          <w:marTop w:val="0"/>
          <w:marBottom w:val="0"/>
          <w:divBdr>
            <w:top w:val="none" w:sz="0" w:space="0" w:color="auto"/>
            <w:left w:val="none" w:sz="0" w:space="0" w:color="auto"/>
            <w:bottom w:val="none" w:sz="0" w:space="0" w:color="auto"/>
            <w:right w:val="none" w:sz="0" w:space="0" w:color="auto"/>
          </w:divBdr>
        </w:div>
        <w:div w:id="1510674853">
          <w:marLeft w:val="0"/>
          <w:marRight w:val="0"/>
          <w:marTop w:val="0"/>
          <w:marBottom w:val="0"/>
          <w:divBdr>
            <w:top w:val="none" w:sz="0" w:space="0" w:color="auto"/>
            <w:left w:val="none" w:sz="0" w:space="0" w:color="auto"/>
            <w:bottom w:val="none" w:sz="0" w:space="0" w:color="auto"/>
            <w:right w:val="none" w:sz="0" w:space="0" w:color="auto"/>
          </w:divBdr>
        </w:div>
        <w:div w:id="861555545">
          <w:marLeft w:val="0"/>
          <w:marRight w:val="0"/>
          <w:marTop w:val="0"/>
          <w:marBottom w:val="0"/>
          <w:divBdr>
            <w:top w:val="none" w:sz="0" w:space="0" w:color="auto"/>
            <w:left w:val="none" w:sz="0" w:space="0" w:color="auto"/>
            <w:bottom w:val="none" w:sz="0" w:space="0" w:color="auto"/>
            <w:right w:val="none" w:sz="0" w:space="0" w:color="auto"/>
          </w:divBdr>
        </w:div>
        <w:div w:id="1885022682">
          <w:marLeft w:val="0"/>
          <w:marRight w:val="0"/>
          <w:marTop w:val="0"/>
          <w:marBottom w:val="0"/>
          <w:divBdr>
            <w:top w:val="none" w:sz="0" w:space="0" w:color="auto"/>
            <w:left w:val="none" w:sz="0" w:space="0" w:color="auto"/>
            <w:bottom w:val="none" w:sz="0" w:space="0" w:color="auto"/>
            <w:right w:val="none" w:sz="0" w:space="0" w:color="auto"/>
          </w:divBdr>
        </w:div>
        <w:div w:id="106126484">
          <w:marLeft w:val="0"/>
          <w:marRight w:val="0"/>
          <w:marTop w:val="0"/>
          <w:marBottom w:val="0"/>
          <w:divBdr>
            <w:top w:val="none" w:sz="0" w:space="0" w:color="auto"/>
            <w:left w:val="none" w:sz="0" w:space="0" w:color="auto"/>
            <w:bottom w:val="none" w:sz="0" w:space="0" w:color="auto"/>
            <w:right w:val="none" w:sz="0" w:space="0" w:color="auto"/>
          </w:divBdr>
        </w:div>
        <w:div w:id="2068333163">
          <w:marLeft w:val="0"/>
          <w:marRight w:val="0"/>
          <w:marTop w:val="0"/>
          <w:marBottom w:val="0"/>
          <w:divBdr>
            <w:top w:val="none" w:sz="0" w:space="0" w:color="auto"/>
            <w:left w:val="none" w:sz="0" w:space="0" w:color="auto"/>
            <w:bottom w:val="none" w:sz="0" w:space="0" w:color="auto"/>
            <w:right w:val="none" w:sz="0" w:space="0" w:color="auto"/>
          </w:divBdr>
        </w:div>
        <w:div w:id="1135294593">
          <w:marLeft w:val="0"/>
          <w:marRight w:val="0"/>
          <w:marTop w:val="0"/>
          <w:marBottom w:val="0"/>
          <w:divBdr>
            <w:top w:val="none" w:sz="0" w:space="0" w:color="auto"/>
            <w:left w:val="none" w:sz="0" w:space="0" w:color="auto"/>
            <w:bottom w:val="none" w:sz="0" w:space="0" w:color="auto"/>
            <w:right w:val="none" w:sz="0" w:space="0" w:color="auto"/>
          </w:divBdr>
        </w:div>
        <w:div w:id="1398934343">
          <w:marLeft w:val="0"/>
          <w:marRight w:val="0"/>
          <w:marTop w:val="0"/>
          <w:marBottom w:val="0"/>
          <w:divBdr>
            <w:top w:val="none" w:sz="0" w:space="0" w:color="auto"/>
            <w:left w:val="none" w:sz="0" w:space="0" w:color="auto"/>
            <w:bottom w:val="none" w:sz="0" w:space="0" w:color="auto"/>
            <w:right w:val="none" w:sz="0" w:space="0" w:color="auto"/>
          </w:divBdr>
        </w:div>
        <w:div w:id="868836238">
          <w:marLeft w:val="0"/>
          <w:marRight w:val="0"/>
          <w:marTop w:val="0"/>
          <w:marBottom w:val="0"/>
          <w:divBdr>
            <w:top w:val="none" w:sz="0" w:space="0" w:color="auto"/>
            <w:left w:val="none" w:sz="0" w:space="0" w:color="auto"/>
            <w:bottom w:val="none" w:sz="0" w:space="0" w:color="auto"/>
            <w:right w:val="none" w:sz="0" w:space="0" w:color="auto"/>
          </w:divBdr>
        </w:div>
        <w:div w:id="1924728291">
          <w:marLeft w:val="0"/>
          <w:marRight w:val="0"/>
          <w:marTop w:val="0"/>
          <w:marBottom w:val="0"/>
          <w:divBdr>
            <w:top w:val="none" w:sz="0" w:space="0" w:color="auto"/>
            <w:left w:val="none" w:sz="0" w:space="0" w:color="auto"/>
            <w:bottom w:val="none" w:sz="0" w:space="0" w:color="auto"/>
            <w:right w:val="none" w:sz="0" w:space="0" w:color="auto"/>
          </w:divBdr>
        </w:div>
        <w:div w:id="1283613340">
          <w:marLeft w:val="0"/>
          <w:marRight w:val="0"/>
          <w:marTop w:val="0"/>
          <w:marBottom w:val="0"/>
          <w:divBdr>
            <w:top w:val="none" w:sz="0" w:space="0" w:color="auto"/>
            <w:left w:val="none" w:sz="0" w:space="0" w:color="auto"/>
            <w:bottom w:val="none" w:sz="0" w:space="0" w:color="auto"/>
            <w:right w:val="none" w:sz="0" w:space="0" w:color="auto"/>
          </w:divBdr>
        </w:div>
        <w:div w:id="1249116459">
          <w:marLeft w:val="0"/>
          <w:marRight w:val="0"/>
          <w:marTop w:val="0"/>
          <w:marBottom w:val="0"/>
          <w:divBdr>
            <w:top w:val="none" w:sz="0" w:space="0" w:color="auto"/>
            <w:left w:val="none" w:sz="0" w:space="0" w:color="auto"/>
            <w:bottom w:val="none" w:sz="0" w:space="0" w:color="auto"/>
            <w:right w:val="none" w:sz="0" w:space="0" w:color="auto"/>
          </w:divBdr>
        </w:div>
        <w:div w:id="1164198064">
          <w:marLeft w:val="0"/>
          <w:marRight w:val="0"/>
          <w:marTop w:val="0"/>
          <w:marBottom w:val="0"/>
          <w:divBdr>
            <w:top w:val="none" w:sz="0" w:space="0" w:color="auto"/>
            <w:left w:val="none" w:sz="0" w:space="0" w:color="auto"/>
            <w:bottom w:val="none" w:sz="0" w:space="0" w:color="auto"/>
            <w:right w:val="none" w:sz="0" w:space="0" w:color="auto"/>
          </w:divBdr>
        </w:div>
        <w:div w:id="786656625">
          <w:marLeft w:val="0"/>
          <w:marRight w:val="0"/>
          <w:marTop w:val="0"/>
          <w:marBottom w:val="0"/>
          <w:divBdr>
            <w:top w:val="none" w:sz="0" w:space="0" w:color="auto"/>
            <w:left w:val="none" w:sz="0" w:space="0" w:color="auto"/>
            <w:bottom w:val="none" w:sz="0" w:space="0" w:color="auto"/>
            <w:right w:val="none" w:sz="0" w:space="0" w:color="auto"/>
          </w:divBdr>
        </w:div>
        <w:div w:id="161705680">
          <w:marLeft w:val="0"/>
          <w:marRight w:val="0"/>
          <w:marTop w:val="0"/>
          <w:marBottom w:val="0"/>
          <w:divBdr>
            <w:top w:val="none" w:sz="0" w:space="0" w:color="auto"/>
            <w:left w:val="none" w:sz="0" w:space="0" w:color="auto"/>
            <w:bottom w:val="none" w:sz="0" w:space="0" w:color="auto"/>
            <w:right w:val="none" w:sz="0" w:space="0" w:color="auto"/>
          </w:divBdr>
        </w:div>
        <w:div w:id="891577612">
          <w:marLeft w:val="0"/>
          <w:marRight w:val="0"/>
          <w:marTop w:val="0"/>
          <w:marBottom w:val="0"/>
          <w:divBdr>
            <w:top w:val="none" w:sz="0" w:space="0" w:color="auto"/>
            <w:left w:val="none" w:sz="0" w:space="0" w:color="auto"/>
            <w:bottom w:val="none" w:sz="0" w:space="0" w:color="auto"/>
            <w:right w:val="none" w:sz="0" w:space="0" w:color="auto"/>
          </w:divBdr>
        </w:div>
        <w:div w:id="1531145597">
          <w:marLeft w:val="0"/>
          <w:marRight w:val="0"/>
          <w:marTop w:val="0"/>
          <w:marBottom w:val="0"/>
          <w:divBdr>
            <w:top w:val="none" w:sz="0" w:space="0" w:color="auto"/>
            <w:left w:val="none" w:sz="0" w:space="0" w:color="auto"/>
            <w:bottom w:val="none" w:sz="0" w:space="0" w:color="auto"/>
            <w:right w:val="none" w:sz="0" w:space="0" w:color="auto"/>
          </w:divBdr>
        </w:div>
        <w:div w:id="1018048093">
          <w:marLeft w:val="0"/>
          <w:marRight w:val="0"/>
          <w:marTop w:val="0"/>
          <w:marBottom w:val="0"/>
          <w:divBdr>
            <w:top w:val="none" w:sz="0" w:space="0" w:color="auto"/>
            <w:left w:val="none" w:sz="0" w:space="0" w:color="auto"/>
            <w:bottom w:val="none" w:sz="0" w:space="0" w:color="auto"/>
            <w:right w:val="none" w:sz="0" w:space="0" w:color="auto"/>
          </w:divBdr>
        </w:div>
        <w:div w:id="55131701">
          <w:marLeft w:val="0"/>
          <w:marRight w:val="0"/>
          <w:marTop w:val="0"/>
          <w:marBottom w:val="0"/>
          <w:divBdr>
            <w:top w:val="none" w:sz="0" w:space="0" w:color="auto"/>
            <w:left w:val="none" w:sz="0" w:space="0" w:color="auto"/>
            <w:bottom w:val="none" w:sz="0" w:space="0" w:color="auto"/>
            <w:right w:val="none" w:sz="0" w:space="0" w:color="auto"/>
          </w:divBdr>
        </w:div>
        <w:div w:id="1825273210">
          <w:marLeft w:val="0"/>
          <w:marRight w:val="0"/>
          <w:marTop w:val="0"/>
          <w:marBottom w:val="0"/>
          <w:divBdr>
            <w:top w:val="none" w:sz="0" w:space="0" w:color="auto"/>
            <w:left w:val="none" w:sz="0" w:space="0" w:color="auto"/>
            <w:bottom w:val="none" w:sz="0" w:space="0" w:color="auto"/>
            <w:right w:val="none" w:sz="0" w:space="0" w:color="auto"/>
          </w:divBdr>
        </w:div>
        <w:div w:id="485174490">
          <w:marLeft w:val="0"/>
          <w:marRight w:val="0"/>
          <w:marTop w:val="0"/>
          <w:marBottom w:val="0"/>
          <w:divBdr>
            <w:top w:val="none" w:sz="0" w:space="0" w:color="auto"/>
            <w:left w:val="none" w:sz="0" w:space="0" w:color="auto"/>
            <w:bottom w:val="none" w:sz="0" w:space="0" w:color="auto"/>
            <w:right w:val="none" w:sz="0" w:space="0" w:color="auto"/>
          </w:divBdr>
        </w:div>
        <w:div w:id="1268077778">
          <w:marLeft w:val="0"/>
          <w:marRight w:val="0"/>
          <w:marTop w:val="0"/>
          <w:marBottom w:val="0"/>
          <w:divBdr>
            <w:top w:val="none" w:sz="0" w:space="0" w:color="auto"/>
            <w:left w:val="none" w:sz="0" w:space="0" w:color="auto"/>
            <w:bottom w:val="none" w:sz="0" w:space="0" w:color="auto"/>
            <w:right w:val="none" w:sz="0" w:space="0" w:color="auto"/>
          </w:divBdr>
        </w:div>
        <w:div w:id="1704400129">
          <w:marLeft w:val="0"/>
          <w:marRight w:val="0"/>
          <w:marTop w:val="0"/>
          <w:marBottom w:val="0"/>
          <w:divBdr>
            <w:top w:val="none" w:sz="0" w:space="0" w:color="auto"/>
            <w:left w:val="none" w:sz="0" w:space="0" w:color="auto"/>
            <w:bottom w:val="none" w:sz="0" w:space="0" w:color="auto"/>
            <w:right w:val="none" w:sz="0" w:space="0" w:color="auto"/>
          </w:divBdr>
        </w:div>
        <w:div w:id="1353996685">
          <w:marLeft w:val="0"/>
          <w:marRight w:val="0"/>
          <w:marTop w:val="0"/>
          <w:marBottom w:val="0"/>
          <w:divBdr>
            <w:top w:val="none" w:sz="0" w:space="0" w:color="auto"/>
            <w:left w:val="none" w:sz="0" w:space="0" w:color="auto"/>
            <w:bottom w:val="none" w:sz="0" w:space="0" w:color="auto"/>
            <w:right w:val="none" w:sz="0" w:space="0" w:color="auto"/>
          </w:divBdr>
        </w:div>
        <w:div w:id="821435430">
          <w:marLeft w:val="0"/>
          <w:marRight w:val="0"/>
          <w:marTop w:val="0"/>
          <w:marBottom w:val="0"/>
          <w:divBdr>
            <w:top w:val="none" w:sz="0" w:space="0" w:color="auto"/>
            <w:left w:val="none" w:sz="0" w:space="0" w:color="auto"/>
            <w:bottom w:val="none" w:sz="0" w:space="0" w:color="auto"/>
            <w:right w:val="none" w:sz="0" w:space="0" w:color="auto"/>
          </w:divBdr>
        </w:div>
        <w:div w:id="1814829308">
          <w:marLeft w:val="0"/>
          <w:marRight w:val="0"/>
          <w:marTop w:val="0"/>
          <w:marBottom w:val="0"/>
          <w:divBdr>
            <w:top w:val="none" w:sz="0" w:space="0" w:color="auto"/>
            <w:left w:val="none" w:sz="0" w:space="0" w:color="auto"/>
            <w:bottom w:val="none" w:sz="0" w:space="0" w:color="auto"/>
            <w:right w:val="none" w:sz="0" w:space="0" w:color="auto"/>
          </w:divBdr>
        </w:div>
        <w:div w:id="986862735">
          <w:marLeft w:val="0"/>
          <w:marRight w:val="0"/>
          <w:marTop w:val="0"/>
          <w:marBottom w:val="0"/>
          <w:divBdr>
            <w:top w:val="none" w:sz="0" w:space="0" w:color="auto"/>
            <w:left w:val="none" w:sz="0" w:space="0" w:color="auto"/>
            <w:bottom w:val="none" w:sz="0" w:space="0" w:color="auto"/>
            <w:right w:val="none" w:sz="0" w:space="0" w:color="auto"/>
          </w:divBdr>
        </w:div>
        <w:div w:id="1237320145">
          <w:marLeft w:val="0"/>
          <w:marRight w:val="0"/>
          <w:marTop w:val="0"/>
          <w:marBottom w:val="0"/>
          <w:divBdr>
            <w:top w:val="none" w:sz="0" w:space="0" w:color="auto"/>
            <w:left w:val="none" w:sz="0" w:space="0" w:color="auto"/>
            <w:bottom w:val="none" w:sz="0" w:space="0" w:color="auto"/>
            <w:right w:val="none" w:sz="0" w:space="0" w:color="auto"/>
          </w:divBdr>
        </w:div>
        <w:div w:id="1216434698">
          <w:marLeft w:val="0"/>
          <w:marRight w:val="0"/>
          <w:marTop w:val="0"/>
          <w:marBottom w:val="0"/>
          <w:divBdr>
            <w:top w:val="none" w:sz="0" w:space="0" w:color="auto"/>
            <w:left w:val="none" w:sz="0" w:space="0" w:color="auto"/>
            <w:bottom w:val="none" w:sz="0" w:space="0" w:color="auto"/>
            <w:right w:val="none" w:sz="0" w:space="0" w:color="auto"/>
          </w:divBdr>
        </w:div>
        <w:div w:id="1419054815">
          <w:marLeft w:val="0"/>
          <w:marRight w:val="0"/>
          <w:marTop w:val="0"/>
          <w:marBottom w:val="0"/>
          <w:divBdr>
            <w:top w:val="none" w:sz="0" w:space="0" w:color="auto"/>
            <w:left w:val="none" w:sz="0" w:space="0" w:color="auto"/>
            <w:bottom w:val="none" w:sz="0" w:space="0" w:color="auto"/>
            <w:right w:val="none" w:sz="0" w:space="0" w:color="auto"/>
          </w:divBdr>
        </w:div>
        <w:div w:id="1484545495">
          <w:marLeft w:val="0"/>
          <w:marRight w:val="0"/>
          <w:marTop w:val="0"/>
          <w:marBottom w:val="0"/>
          <w:divBdr>
            <w:top w:val="none" w:sz="0" w:space="0" w:color="auto"/>
            <w:left w:val="none" w:sz="0" w:space="0" w:color="auto"/>
            <w:bottom w:val="none" w:sz="0" w:space="0" w:color="auto"/>
            <w:right w:val="none" w:sz="0" w:space="0" w:color="auto"/>
          </w:divBdr>
        </w:div>
        <w:div w:id="1140657757">
          <w:marLeft w:val="0"/>
          <w:marRight w:val="0"/>
          <w:marTop w:val="0"/>
          <w:marBottom w:val="0"/>
          <w:divBdr>
            <w:top w:val="none" w:sz="0" w:space="0" w:color="auto"/>
            <w:left w:val="none" w:sz="0" w:space="0" w:color="auto"/>
            <w:bottom w:val="none" w:sz="0" w:space="0" w:color="auto"/>
            <w:right w:val="none" w:sz="0" w:space="0" w:color="auto"/>
          </w:divBdr>
        </w:div>
        <w:div w:id="966928847">
          <w:marLeft w:val="0"/>
          <w:marRight w:val="0"/>
          <w:marTop w:val="0"/>
          <w:marBottom w:val="0"/>
          <w:divBdr>
            <w:top w:val="none" w:sz="0" w:space="0" w:color="auto"/>
            <w:left w:val="none" w:sz="0" w:space="0" w:color="auto"/>
            <w:bottom w:val="none" w:sz="0" w:space="0" w:color="auto"/>
            <w:right w:val="none" w:sz="0" w:space="0" w:color="auto"/>
          </w:divBdr>
        </w:div>
        <w:div w:id="1787459984">
          <w:marLeft w:val="0"/>
          <w:marRight w:val="0"/>
          <w:marTop w:val="0"/>
          <w:marBottom w:val="0"/>
          <w:divBdr>
            <w:top w:val="none" w:sz="0" w:space="0" w:color="auto"/>
            <w:left w:val="none" w:sz="0" w:space="0" w:color="auto"/>
            <w:bottom w:val="none" w:sz="0" w:space="0" w:color="auto"/>
            <w:right w:val="none" w:sz="0" w:space="0" w:color="auto"/>
          </w:divBdr>
        </w:div>
        <w:div w:id="1616280972">
          <w:marLeft w:val="0"/>
          <w:marRight w:val="0"/>
          <w:marTop w:val="0"/>
          <w:marBottom w:val="0"/>
          <w:divBdr>
            <w:top w:val="none" w:sz="0" w:space="0" w:color="auto"/>
            <w:left w:val="none" w:sz="0" w:space="0" w:color="auto"/>
            <w:bottom w:val="none" w:sz="0" w:space="0" w:color="auto"/>
            <w:right w:val="none" w:sz="0" w:space="0" w:color="auto"/>
          </w:divBdr>
        </w:div>
        <w:div w:id="1162575564">
          <w:marLeft w:val="0"/>
          <w:marRight w:val="0"/>
          <w:marTop w:val="0"/>
          <w:marBottom w:val="0"/>
          <w:divBdr>
            <w:top w:val="none" w:sz="0" w:space="0" w:color="auto"/>
            <w:left w:val="none" w:sz="0" w:space="0" w:color="auto"/>
            <w:bottom w:val="none" w:sz="0" w:space="0" w:color="auto"/>
            <w:right w:val="none" w:sz="0" w:space="0" w:color="auto"/>
          </w:divBdr>
        </w:div>
        <w:div w:id="24186200">
          <w:marLeft w:val="0"/>
          <w:marRight w:val="0"/>
          <w:marTop w:val="0"/>
          <w:marBottom w:val="0"/>
          <w:divBdr>
            <w:top w:val="none" w:sz="0" w:space="0" w:color="auto"/>
            <w:left w:val="none" w:sz="0" w:space="0" w:color="auto"/>
            <w:bottom w:val="none" w:sz="0" w:space="0" w:color="auto"/>
            <w:right w:val="none" w:sz="0" w:space="0" w:color="auto"/>
          </w:divBdr>
        </w:div>
        <w:div w:id="749230519">
          <w:marLeft w:val="0"/>
          <w:marRight w:val="0"/>
          <w:marTop w:val="0"/>
          <w:marBottom w:val="0"/>
          <w:divBdr>
            <w:top w:val="none" w:sz="0" w:space="0" w:color="auto"/>
            <w:left w:val="none" w:sz="0" w:space="0" w:color="auto"/>
            <w:bottom w:val="none" w:sz="0" w:space="0" w:color="auto"/>
            <w:right w:val="none" w:sz="0" w:space="0" w:color="auto"/>
          </w:divBdr>
        </w:div>
        <w:div w:id="1211649268">
          <w:marLeft w:val="0"/>
          <w:marRight w:val="0"/>
          <w:marTop w:val="0"/>
          <w:marBottom w:val="0"/>
          <w:divBdr>
            <w:top w:val="none" w:sz="0" w:space="0" w:color="auto"/>
            <w:left w:val="none" w:sz="0" w:space="0" w:color="auto"/>
            <w:bottom w:val="none" w:sz="0" w:space="0" w:color="auto"/>
            <w:right w:val="none" w:sz="0" w:space="0" w:color="auto"/>
          </w:divBdr>
        </w:div>
        <w:div w:id="377441155">
          <w:marLeft w:val="0"/>
          <w:marRight w:val="0"/>
          <w:marTop w:val="0"/>
          <w:marBottom w:val="0"/>
          <w:divBdr>
            <w:top w:val="none" w:sz="0" w:space="0" w:color="auto"/>
            <w:left w:val="none" w:sz="0" w:space="0" w:color="auto"/>
            <w:bottom w:val="none" w:sz="0" w:space="0" w:color="auto"/>
            <w:right w:val="none" w:sz="0" w:space="0" w:color="auto"/>
          </w:divBdr>
        </w:div>
        <w:div w:id="1948274813">
          <w:marLeft w:val="0"/>
          <w:marRight w:val="0"/>
          <w:marTop w:val="0"/>
          <w:marBottom w:val="0"/>
          <w:divBdr>
            <w:top w:val="none" w:sz="0" w:space="0" w:color="auto"/>
            <w:left w:val="none" w:sz="0" w:space="0" w:color="auto"/>
            <w:bottom w:val="none" w:sz="0" w:space="0" w:color="auto"/>
            <w:right w:val="none" w:sz="0" w:space="0" w:color="auto"/>
          </w:divBdr>
        </w:div>
        <w:div w:id="2076005142">
          <w:marLeft w:val="0"/>
          <w:marRight w:val="0"/>
          <w:marTop w:val="0"/>
          <w:marBottom w:val="0"/>
          <w:divBdr>
            <w:top w:val="none" w:sz="0" w:space="0" w:color="auto"/>
            <w:left w:val="none" w:sz="0" w:space="0" w:color="auto"/>
            <w:bottom w:val="none" w:sz="0" w:space="0" w:color="auto"/>
            <w:right w:val="none" w:sz="0" w:space="0" w:color="auto"/>
          </w:divBdr>
        </w:div>
        <w:div w:id="1076702466">
          <w:marLeft w:val="0"/>
          <w:marRight w:val="0"/>
          <w:marTop w:val="0"/>
          <w:marBottom w:val="0"/>
          <w:divBdr>
            <w:top w:val="none" w:sz="0" w:space="0" w:color="auto"/>
            <w:left w:val="none" w:sz="0" w:space="0" w:color="auto"/>
            <w:bottom w:val="none" w:sz="0" w:space="0" w:color="auto"/>
            <w:right w:val="none" w:sz="0" w:space="0" w:color="auto"/>
          </w:divBdr>
        </w:div>
        <w:div w:id="1257396613">
          <w:marLeft w:val="0"/>
          <w:marRight w:val="0"/>
          <w:marTop w:val="0"/>
          <w:marBottom w:val="0"/>
          <w:divBdr>
            <w:top w:val="none" w:sz="0" w:space="0" w:color="auto"/>
            <w:left w:val="none" w:sz="0" w:space="0" w:color="auto"/>
            <w:bottom w:val="none" w:sz="0" w:space="0" w:color="auto"/>
            <w:right w:val="none" w:sz="0" w:space="0" w:color="auto"/>
          </w:divBdr>
        </w:div>
        <w:div w:id="778725074">
          <w:marLeft w:val="0"/>
          <w:marRight w:val="0"/>
          <w:marTop w:val="0"/>
          <w:marBottom w:val="0"/>
          <w:divBdr>
            <w:top w:val="none" w:sz="0" w:space="0" w:color="auto"/>
            <w:left w:val="none" w:sz="0" w:space="0" w:color="auto"/>
            <w:bottom w:val="none" w:sz="0" w:space="0" w:color="auto"/>
            <w:right w:val="none" w:sz="0" w:space="0" w:color="auto"/>
          </w:divBdr>
        </w:div>
        <w:div w:id="1882280428">
          <w:marLeft w:val="0"/>
          <w:marRight w:val="0"/>
          <w:marTop w:val="0"/>
          <w:marBottom w:val="0"/>
          <w:divBdr>
            <w:top w:val="none" w:sz="0" w:space="0" w:color="auto"/>
            <w:left w:val="none" w:sz="0" w:space="0" w:color="auto"/>
            <w:bottom w:val="none" w:sz="0" w:space="0" w:color="auto"/>
            <w:right w:val="none" w:sz="0" w:space="0" w:color="auto"/>
          </w:divBdr>
        </w:div>
        <w:div w:id="1315986056">
          <w:marLeft w:val="0"/>
          <w:marRight w:val="0"/>
          <w:marTop w:val="0"/>
          <w:marBottom w:val="0"/>
          <w:divBdr>
            <w:top w:val="none" w:sz="0" w:space="0" w:color="auto"/>
            <w:left w:val="none" w:sz="0" w:space="0" w:color="auto"/>
            <w:bottom w:val="none" w:sz="0" w:space="0" w:color="auto"/>
            <w:right w:val="none" w:sz="0" w:space="0" w:color="auto"/>
          </w:divBdr>
        </w:div>
        <w:div w:id="606236457">
          <w:marLeft w:val="0"/>
          <w:marRight w:val="0"/>
          <w:marTop w:val="0"/>
          <w:marBottom w:val="0"/>
          <w:divBdr>
            <w:top w:val="none" w:sz="0" w:space="0" w:color="auto"/>
            <w:left w:val="none" w:sz="0" w:space="0" w:color="auto"/>
            <w:bottom w:val="none" w:sz="0" w:space="0" w:color="auto"/>
            <w:right w:val="none" w:sz="0" w:space="0" w:color="auto"/>
          </w:divBdr>
        </w:div>
        <w:div w:id="1520504369">
          <w:marLeft w:val="0"/>
          <w:marRight w:val="0"/>
          <w:marTop w:val="0"/>
          <w:marBottom w:val="0"/>
          <w:divBdr>
            <w:top w:val="none" w:sz="0" w:space="0" w:color="auto"/>
            <w:left w:val="none" w:sz="0" w:space="0" w:color="auto"/>
            <w:bottom w:val="none" w:sz="0" w:space="0" w:color="auto"/>
            <w:right w:val="none" w:sz="0" w:space="0" w:color="auto"/>
          </w:divBdr>
        </w:div>
        <w:div w:id="1725568854">
          <w:marLeft w:val="0"/>
          <w:marRight w:val="0"/>
          <w:marTop w:val="0"/>
          <w:marBottom w:val="0"/>
          <w:divBdr>
            <w:top w:val="none" w:sz="0" w:space="0" w:color="auto"/>
            <w:left w:val="none" w:sz="0" w:space="0" w:color="auto"/>
            <w:bottom w:val="none" w:sz="0" w:space="0" w:color="auto"/>
            <w:right w:val="none" w:sz="0" w:space="0" w:color="auto"/>
          </w:divBdr>
        </w:div>
        <w:div w:id="603267364">
          <w:marLeft w:val="0"/>
          <w:marRight w:val="0"/>
          <w:marTop w:val="0"/>
          <w:marBottom w:val="0"/>
          <w:divBdr>
            <w:top w:val="none" w:sz="0" w:space="0" w:color="auto"/>
            <w:left w:val="none" w:sz="0" w:space="0" w:color="auto"/>
            <w:bottom w:val="none" w:sz="0" w:space="0" w:color="auto"/>
            <w:right w:val="none" w:sz="0" w:space="0" w:color="auto"/>
          </w:divBdr>
        </w:div>
        <w:div w:id="1472674726">
          <w:marLeft w:val="0"/>
          <w:marRight w:val="0"/>
          <w:marTop w:val="0"/>
          <w:marBottom w:val="0"/>
          <w:divBdr>
            <w:top w:val="none" w:sz="0" w:space="0" w:color="auto"/>
            <w:left w:val="none" w:sz="0" w:space="0" w:color="auto"/>
            <w:bottom w:val="none" w:sz="0" w:space="0" w:color="auto"/>
            <w:right w:val="none" w:sz="0" w:space="0" w:color="auto"/>
          </w:divBdr>
        </w:div>
        <w:div w:id="332806104">
          <w:marLeft w:val="0"/>
          <w:marRight w:val="0"/>
          <w:marTop w:val="0"/>
          <w:marBottom w:val="0"/>
          <w:divBdr>
            <w:top w:val="none" w:sz="0" w:space="0" w:color="auto"/>
            <w:left w:val="none" w:sz="0" w:space="0" w:color="auto"/>
            <w:bottom w:val="none" w:sz="0" w:space="0" w:color="auto"/>
            <w:right w:val="none" w:sz="0" w:space="0" w:color="auto"/>
          </w:divBdr>
        </w:div>
        <w:div w:id="605232624">
          <w:marLeft w:val="0"/>
          <w:marRight w:val="0"/>
          <w:marTop w:val="0"/>
          <w:marBottom w:val="0"/>
          <w:divBdr>
            <w:top w:val="none" w:sz="0" w:space="0" w:color="auto"/>
            <w:left w:val="none" w:sz="0" w:space="0" w:color="auto"/>
            <w:bottom w:val="none" w:sz="0" w:space="0" w:color="auto"/>
            <w:right w:val="none" w:sz="0" w:space="0" w:color="auto"/>
          </w:divBdr>
        </w:div>
        <w:div w:id="292448423">
          <w:marLeft w:val="0"/>
          <w:marRight w:val="0"/>
          <w:marTop w:val="0"/>
          <w:marBottom w:val="0"/>
          <w:divBdr>
            <w:top w:val="none" w:sz="0" w:space="0" w:color="auto"/>
            <w:left w:val="none" w:sz="0" w:space="0" w:color="auto"/>
            <w:bottom w:val="none" w:sz="0" w:space="0" w:color="auto"/>
            <w:right w:val="none" w:sz="0" w:space="0" w:color="auto"/>
          </w:divBdr>
        </w:div>
      </w:divsChild>
    </w:div>
    <w:div w:id="1936592815">
      <w:bodyDiv w:val="1"/>
      <w:marLeft w:val="0"/>
      <w:marRight w:val="0"/>
      <w:marTop w:val="0"/>
      <w:marBottom w:val="0"/>
      <w:divBdr>
        <w:top w:val="none" w:sz="0" w:space="0" w:color="auto"/>
        <w:left w:val="none" w:sz="0" w:space="0" w:color="auto"/>
        <w:bottom w:val="none" w:sz="0" w:space="0" w:color="auto"/>
        <w:right w:val="none" w:sz="0" w:space="0" w:color="auto"/>
      </w:divBdr>
    </w:div>
    <w:div w:id="207126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0a6909-fa11-490b-a200-8c0d02a178c1" xsi:nil="true"/>
    <lcf76f155ced4ddcb4097134ff3c332f xmlns="e4d6f986-cc5c-4410-a3bd-4a43211010c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1B57443093FF841996FECDB96F12629" ma:contentTypeVersion="18" ma:contentTypeDescription="Create a new document." ma:contentTypeScope="" ma:versionID="13333caf2833f6b738315844d1c3bfb3">
  <xsd:schema xmlns:xsd="http://www.w3.org/2001/XMLSchema" xmlns:xs="http://www.w3.org/2001/XMLSchema" xmlns:p="http://schemas.microsoft.com/office/2006/metadata/properties" xmlns:ns2="e4d6f986-cc5c-4410-a3bd-4a43211010cf" xmlns:ns3="a91730d8-6f26-4901-80f0-23ed201d6871" xmlns:ns4="490a6909-fa11-490b-a200-8c0d02a178c1" targetNamespace="http://schemas.microsoft.com/office/2006/metadata/properties" ma:root="true" ma:fieldsID="43a63445d85aea7225f067004a49400d" ns2:_="" ns3:_="" ns4:_="">
    <xsd:import namespace="e4d6f986-cc5c-4410-a3bd-4a43211010cf"/>
    <xsd:import namespace="a91730d8-6f26-4901-80f0-23ed201d6871"/>
    <xsd:import namespace="490a6909-fa11-490b-a200-8c0d02a178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f986-cc5c-4410-a3bd-4a43211010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2bfcd88-4be3-4a49-9a62-b1f39ccf10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1730d8-6f26-4901-80f0-23ed201d68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0a6909-fa11-490b-a200-8c0d02a178c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40bea29-8064-49ae-819f-56c3e65ec88c}" ma:internalName="TaxCatchAll" ma:showField="CatchAllData" ma:web="a91730d8-6f26-4901-80f0-23ed201d68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573929-41F0-4996-B064-15CD005BF057}">
  <ds:schemaRefs>
    <ds:schemaRef ds:uri="http://schemas.microsoft.com/office/2006/metadata/properties"/>
    <ds:schemaRef ds:uri="http://schemas.microsoft.com/office/infopath/2007/PartnerControls"/>
    <ds:schemaRef ds:uri="490a6909-fa11-490b-a200-8c0d02a178c1"/>
    <ds:schemaRef ds:uri="e4d6f986-cc5c-4410-a3bd-4a43211010cf"/>
  </ds:schemaRefs>
</ds:datastoreItem>
</file>

<file path=customXml/itemProps2.xml><?xml version="1.0" encoding="utf-8"?>
<ds:datastoreItem xmlns:ds="http://schemas.openxmlformats.org/officeDocument/2006/customXml" ds:itemID="{5311C7AE-83AD-4C4F-89E0-B1890A83ED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f986-cc5c-4410-a3bd-4a43211010cf"/>
    <ds:schemaRef ds:uri="a91730d8-6f26-4901-80f0-23ed201d6871"/>
    <ds:schemaRef ds:uri="490a6909-fa11-490b-a200-8c0d02a178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9FC692-70A1-46FD-AAF5-174A6126F837}">
  <ds:schemaRefs>
    <ds:schemaRef ds:uri="http://schemas.microsoft.com/sharepoint/v3/contenttype/forms"/>
  </ds:schemaRefs>
</ds:datastoreItem>
</file>

<file path=customXml/itemProps4.xml><?xml version="1.0" encoding="utf-8"?>
<ds:datastoreItem xmlns:ds="http://schemas.openxmlformats.org/officeDocument/2006/customXml" ds:itemID="{B6A5F65D-09F4-4554-9CAE-89B26895C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28</Pages>
  <Words>12306</Words>
  <Characters>70150</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WaveLinx CAT CSI</vt:lpstr>
    </vt:vector>
  </TitlesOfParts>
  <Company>Cooper Lighting Solutions</Company>
  <LinksUpToDate>false</LinksUpToDate>
  <CharactersWithSpaces>82292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WaveLinx CAT CSI</dc:title>
  <dc:subject>SECTION 260924 Specifications</dc:subject>
  <dc:creator>shane.de.lima@cooperlighting.com</dc:creator>
  <cp:keywords>CSI</cp:keywords>
  <cp:lastModifiedBy>Angela Plagmann</cp:lastModifiedBy>
  <cp:revision>32</cp:revision>
  <cp:lastPrinted>2022-04-11T22:11:00Z</cp:lastPrinted>
  <dcterms:created xsi:type="dcterms:W3CDTF">2024-11-20T18:46:00Z</dcterms:created>
  <dcterms:modified xsi:type="dcterms:W3CDTF">2025-04-30T18:23:00Z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0x01010001B57443093FF841996FECDB96F12629</vt:lpwstr>
  </property>
  <property fmtid="{D5CDD505-2E9C-101B-9397-08002B2CF9AE}" pid="3" name="IsMyDocuments">
    <vt:bool>true</vt:bool>
  </property>
  <property fmtid="{D5CDD505-2E9C-101B-9397-08002B2CF9AE}" pid="4" name="AuthorIds_UIVersion_512">
    <vt:lpwstr>22</vt:lpwstr>
  </property>
  <property fmtid="{D5CDD505-2E9C-101B-9397-08002B2CF9AE}" pid="5" name="MSIP_Label_cb027a58-0b8b-4b38-933d-36c79ab5a9a6_Enabled">
    <vt:lpwstr>true</vt:lpwstr>
  </property>
  <property fmtid="{D5CDD505-2E9C-101B-9397-08002B2CF9AE}" pid="6" name="MSIP_Label_cb027a58-0b8b-4b38-933d-36c79ab5a9a6_SetDate">
    <vt:lpwstr>2022-04-11T19:11:17Z</vt:lpwstr>
  </property>
  <property fmtid="{D5CDD505-2E9C-101B-9397-08002B2CF9AE}" pid="7" name="MSIP_Label_cb027a58-0b8b-4b38-933d-36c79ab5a9a6_Method">
    <vt:lpwstr>Privileged</vt:lpwstr>
  </property>
  <property fmtid="{D5CDD505-2E9C-101B-9397-08002B2CF9AE}" pid="8" name="MSIP_Label_cb027a58-0b8b-4b38-933d-36c79ab5a9a6_Name">
    <vt:lpwstr>cb027a58-0b8b-4b38-933d-36c79ab5a9a6</vt:lpwstr>
  </property>
  <property fmtid="{D5CDD505-2E9C-101B-9397-08002B2CF9AE}" pid="9" name="MSIP_Label_cb027a58-0b8b-4b38-933d-36c79ab5a9a6_SiteId">
    <vt:lpwstr>75b2f54b-feff-400d-8e0b-67102edb9a23</vt:lpwstr>
  </property>
  <property fmtid="{D5CDD505-2E9C-101B-9397-08002B2CF9AE}" pid="10" name="MSIP_Label_cb027a58-0b8b-4b38-933d-36c79ab5a9a6_ActionId">
    <vt:lpwstr>2faca150-59fd-4360-adae-0f2da744d587</vt:lpwstr>
  </property>
  <property fmtid="{D5CDD505-2E9C-101B-9397-08002B2CF9AE}" pid="11" name="MSIP_Label_cb027a58-0b8b-4b38-933d-36c79ab5a9a6_ContentBits">
    <vt:lpwstr>0</vt:lpwstr>
  </property>
  <property fmtid="{D5CDD505-2E9C-101B-9397-08002B2CF9AE}" pid="12" name="MediaServiceImageTags">
    <vt:lpwstr/>
  </property>
  <property fmtid="{D5CDD505-2E9C-101B-9397-08002B2CF9AE}" pid="13" name="GrammarlyDocumentId">
    <vt:lpwstr>cbd9139fe998f5e4b1ef272e0e7ed051d7620584a12dcfc273480fe6d9eb665f</vt:lpwstr>
  </property>
</Properties>
</file>